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3" w:type="dxa"/>
        <w:jc w:val="center"/>
        <w:tblLayout w:type="fixed"/>
        <w:tblLook w:val="0000"/>
      </w:tblPr>
      <w:tblGrid>
        <w:gridCol w:w="4361"/>
        <w:gridCol w:w="5512"/>
      </w:tblGrid>
      <w:tr w:rsidR="00F40EDC" w:rsidRPr="000F67D2" w:rsidTr="00F40EDC">
        <w:trPr>
          <w:trHeight w:val="1437"/>
          <w:jc w:val="center"/>
        </w:trPr>
        <w:tc>
          <w:tcPr>
            <w:tcW w:w="4361" w:type="dxa"/>
          </w:tcPr>
          <w:p w:rsidR="00F40EDC" w:rsidRPr="000F67D2" w:rsidRDefault="00F40EDC" w:rsidP="00F40EDC">
            <w:pPr>
              <w:pStyle w:val="Header"/>
              <w:spacing w:line="320" w:lineRule="exact"/>
              <w:ind w:firstLine="0"/>
              <w:jc w:val="center"/>
              <w:rPr>
                <w:b/>
                <w:bCs/>
                <w:spacing w:val="-4"/>
                <w:sz w:val="24"/>
                <w:szCs w:val="26"/>
              </w:rPr>
            </w:pPr>
            <w:r w:rsidRPr="000F67D2">
              <w:rPr>
                <w:b/>
                <w:bCs/>
                <w:spacing w:val="-4"/>
                <w:sz w:val="24"/>
                <w:szCs w:val="26"/>
              </w:rPr>
              <w:t>ỦY BAN THƯỜNG VỤ QUỐC HỘI</w:t>
            </w:r>
          </w:p>
          <w:p w:rsidR="00F40EDC" w:rsidRPr="000F67D2" w:rsidRDefault="00084062" w:rsidP="00F40EDC">
            <w:pPr>
              <w:pStyle w:val="Header"/>
              <w:spacing w:line="320" w:lineRule="exact"/>
              <w:ind w:firstLine="0"/>
              <w:jc w:val="center"/>
              <w:rPr>
                <w:szCs w:val="26"/>
              </w:rPr>
            </w:pPr>
            <w:r w:rsidRPr="00084062">
              <w:rPr>
                <w:noProof/>
                <w:lang w:eastAsia="ko-KR"/>
              </w:rPr>
              <w:pict>
                <v:line id="Straight Connector 6" o:spid="_x0000_s1026" style="position:absolute;left:0;text-align:left;z-index:251666432;visibility:visible" from="61.55pt,2pt" to="13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z0xwEAAHYDAAAOAAAAZHJzL2Uyb0RvYy54bWysU02P0zAQvSPxHyzfadpqt4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"/>
              </w:pict>
            </w:r>
          </w:p>
          <w:p w:rsidR="00F40EDC" w:rsidRPr="000F67D2" w:rsidRDefault="00F40EDC" w:rsidP="00F40EDC">
            <w:pPr>
              <w:pStyle w:val="Header"/>
              <w:spacing w:line="320" w:lineRule="exact"/>
              <w:ind w:firstLine="0"/>
              <w:jc w:val="center"/>
              <w:rPr>
                <w:szCs w:val="26"/>
              </w:rPr>
            </w:pPr>
            <w:r w:rsidRPr="000F67D2">
              <w:rPr>
                <w:sz w:val="26"/>
              </w:rPr>
              <w:t>Số:</w:t>
            </w:r>
            <w:r w:rsidR="00405ADB" w:rsidRPr="00405ADB">
              <w:rPr>
                <w:b/>
                <w:bCs/>
                <w:sz w:val="26"/>
              </w:rPr>
              <w:t>488</w:t>
            </w:r>
            <w:r w:rsidRPr="000F67D2">
              <w:rPr>
                <w:sz w:val="26"/>
              </w:rPr>
              <w:t>/BC-UBTVQH14</w:t>
            </w:r>
          </w:p>
        </w:tc>
        <w:tc>
          <w:tcPr>
            <w:tcW w:w="5512" w:type="dxa"/>
          </w:tcPr>
          <w:p w:rsidR="00F40EDC" w:rsidRPr="000F67D2" w:rsidRDefault="00F40EDC" w:rsidP="00F40EDC">
            <w:pPr>
              <w:spacing w:before="0" w:line="320" w:lineRule="exact"/>
              <w:ind w:firstLine="0"/>
              <w:jc w:val="center"/>
              <w:rPr>
                <w:b/>
                <w:bCs/>
                <w:spacing w:val="-4"/>
                <w:sz w:val="24"/>
                <w:szCs w:val="26"/>
              </w:rPr>
            </w:pPr>
            <w:r w:rsidRPr="000F67D2">
              <w:rPr>
                <w:b/>
                <w:bCs/>
                <w:spacing w:val="-4"/>
                <w:sz w:val="24"/>
                <w:szCs w:val="26"/>
              </w:rPr>
              <w:t>CỘNG HOÀ XÃ HỘI CHỦ NGHĨA VIỆT NAM</w:t>
            </w:r>
          </w:p>
          <w:p w:rsidR="00F40EDC" w:rsidRPr="000F67D2" w:rsidRDefault="00F40EDC" w:rsidP="00F40EDC">
            <w:pPr>
              <w:spacing w:before="0" w:line="320" w:lineRule="exact"/>
              <w:ind w:firstLine="0"/>
              <w:jc w:val="center"/>
              <w:rPr>
                <w:b/>
                <w:sz w:val="26"/>
              </w:rPr>
            </w:pPr>
            <w:r w:rsidRPr="000F67D2">
              <w:rPr>
                <w:b/>
                <w:sz w:val="26"/>
              </w:rPr>
              <w:t>Độc lập - Tự do - Hạnh phúc</w:t>
            </w:r>
          </w:p>
          <w:p w:rsidR="00F40EDC" w:rsidRPr="000F67D2" w:rsidRDefault="00084062" w:rsidP="00F40EDC">
            <w:pPr>
              <w:spacing w:before="0" w:line="360" w:lineRule="auto"/>
              <w:ind w:firstLine="0"/>
              <w:jc w:val="center"/>
              <w:rPr>
                <w:i/>
                <w:iCs/>
              </w:rPr>
            </w:pPr>
            <w:r w:rsidRPr="00084062">
              <w:rPr>
                <w:noProof/>
                <w:lang w:eastAsia="ko-KR"/>
              </w:rPr>
              <w:pict>
                <v:line id="Straight Connector 3" o:spid="_x0000_s1028" style="position:absolute;left:0;text-align:left;z-index:251665408;visibility:visible" from="51.2pt,.85pt" to="21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"/>
              </w:pict>
            </w:r>
          </w:p>
          <w:p w:rsidR="00F40EDC" w:rsidRPr="000F67D2" w:rsidRDefault="00F40EDC" w:rsidP="00F40EDC">
            <w:pPr>
              <w:spacing w:before="0" w:line="360" w:lineRule="auto"/>
              <w:ind w:firstLine="0"/>
              <w:jc w:val="center"/>
              <w:rPr>
                <w:i/>
                <w:iCs/>
              </w:rPr>
            </w:pPr>
            <w:r w:rsidRPr="000F67D2">
              <w:rPr>
                <w:i/>
                <w:iCs/>
              </w:rPr>
              <w:t>Hà Nội, ngày</w:t>
            </w:r>
            <w:r w:rsidR="00405ADB">
              <w:rPr>
                <w:i/>
                <w:iCs/>
              </w:rPr>
              <w:t>2</w:t>
            </w:r>
            <w:r w:rsidR="007745E2">
              <w:rPr>
                <w:i/>
                <w:iCs/>
              </w:rPr>
              <w:t xml:space="preserve">2 </w:t>
            </w:r>
            <w:r w:rsidRPr="000F67D2">
              <w:rPr>
                <w:i/>
                <w:iCs/>
              </w:rPr>
              <w:t>tháng 11 năm 2019</w:t>
            </w:r>
          </w:p>
        </w:tc>
      </w:tr>
    </w:tbl>
    <w:p w:rsidR="00F40EDC" w:rsidRPr="000F67D2" w:rsidRDefault="00F40EDC" w:rsidP="00F40EDC">
      <w:pPr>
        <w:pStyle w:val="n-chuongten"/>
        <w:autoSpaceDE/>
        <w:autoSpaceDN/>
        <w:spacing w:after="0" w:line="320" w:lineRule="exact"/>
        <w:ind w:firstLine="0"/>
        <w:rPr>
          <w:rFonts w:ascii="Times New Roman" w:hAnsi="Times New Roman"/>
          <w:sz w:val="30"/>
          <w:szCs w:val="28"/>
          <w:lang w:val="en-US"/>
        </w:rPr>
      </w:pPr>
    </w:p>
    <w:p w:rsidR="00F40EDC" w:rsidRPr="000F67D2" w:rsidRDefault="00F40EDC" w:rsidP="00F40EDC">
      <w:pPr>
        <w:pStyle w:val="n-chuongten"/>
        <w:autoSpaceDE/>
        <w:autoSpaceDN/>
        <w:spacing w:after="0" w:line="320" w:lineRule="exact"/>
        <w:ind w:firstLine="0"/>
        <w:rPr>
          <w:rFonts w:ascii="Times New Roman" w:hAnsi="Times New Roman"/>
          <w:sz w:val="28"/>
          <w:szCs w:val="28"/>
          <w:lang w:val="en-US"/>
        </w:rPr>
      </w:pPr>
      <w:r w:rsidRPr="000F67D2">
        <w:rPr>
          <w:rFonts w:ascii="Times New Roman" w:hAnsi="Times New Roman"/>
          <w:sz w:val="28"/>
          <w:szCs w:val="28"/>
          <w:lang w:val="en-US"/>
        </w:rPr>
        <w:t>BÁO CÁO</w:t>
      </w:r>
    </w:p>
    <w:p w:rsidR="00F40EDC" w:rsidRPr="000F67D2" w:rsidRDefault="00F40EDC" w:rsidP="00F40EDC">
      <w:pPr>
        <w:pStyle w:val="n-chuongten"/>
        <w:autoSpaceDE/>
        <w:autoSpaceDN/>
        <w:spacing w:after="0" w:line="320" w:lineRule="exact"/>
        <w:ind w:firstLine="0"/>
        <w:rPr>
          <w:rFonts w:ascii="Times New Roman" w:hAnsi="Times New Roman"/>
          <w:sz w:val="28"/>
          <w:szCs w:val="28"/>
          <w:lang w:val="en-US"/>
        </w:rPr>
      </w:pPr>
      <w:r w:rsidRPr="000F67D2">
        <w:rPr>
          <w:rFonts w:ascii="Times New Roman" w:hAnsi="Times New Roman"/>
          <w:sz w:val="28"/>
          <w:szCs w:val="28"/>
          <w:lang w:val="en-US"/>
        </w:rPr>
        <w:t xml:space="preserve">tiếp thu, giải trình ý kiến đại biểu Quốc hội về dự thảo Nghị quyết </w:t>
      </w:r>
    </w:p>
    <w:p w:rsidR="00F40EDC" w:rsidRPr="000F67D2" w:rsidRDefault="00F40EDC" w:rsidP="00F40EDC">
      <w:pPr>
        <w:pStyle w:val="n-chuongten"/>
        <w:autoSpaceDE/>
        <w:autoSpaceDN/>
        <w:spacing w:after="0" w:line="320" w:lineRule="exact"/>
        <w:ind w:firstLine="0"/>
        <w:rPr>
          <w:rFonts w:ascii="Times New Roman" w:hAnsi="Times New Roman"/>
          <w:noProof/>
          <w:sz w:val="28"/>
          <w:szCs w:val="28"/>
          <w:lang w:val="en-US"/>
        </w:rPr>
      </w:pPr>
      <w:r w:rsidRPr="000F67D2">
        <w:rPr>
          <w:rFonts w:ascii="Times New Roman" w:hAnsi="Times New Roman"/>
          <w:bCs/>
          <w:sz w:val="28"/>
          <w:szCs w:val="28"/>
          <w:lang w:val="it-IT"/>
        </w:rPr>
        <w:t>về công tác phòng</w:t>
      </w:r>
      <w:r w:rsidRPr="000F67D2">
        <w:rPr>
          <w:rFonts w:ascii="Times New Roman" w:hAnsi="Times New Roman"/>
          <w:sz w:val="28"/>
          <w:szCs w:val="28"/>
        </w:rPr>
        <w:t>, chống tội phạm và vi phạm pháp luật, công tác của Viện kiểm sát nhân dân, của Tòa án nhân dân và công tác thi hành án</w:t>
      </w:r>
    </w:p>
    <w:p w:rsidR="00F40EDC" w:rsidRPr="000F67D2" w:rsidRDefault="00084062" w:rsidP="00F40EDC">
      <w:pPr>
        <w:pStyle w:val="n-chuongten"/>
        <w:autoSpaceDE/>
        <w:autoSpaceDN/>
        <w:spacing w:after="0" w:line="320" w:lineRule="exact"/>
        <w:ind w:firstLine="0"/>
        <w:rPr>
          <w:rFonts w:ascii="Times New Roman" w:hAnsi="Times New Roman"/>
          <w:sz w:val="28"/>
          <w:szCs w:val="28"/>
          <w:lang w:val="en-US"/>
        </w:rPr>
      </w:pPr>
      <w:r>
        <w:rPr>
          <w:rFonts w:ascii="Times New Roman" w:hAnsi="Times New Roman"/>
          <w:noProof/>
          <w:sz w:val="28"/>
          <w:szCs w:val="28"/>
          <w:lang w:val="en-US"/>
        </w:rPr>
        <w:pict>
          <v:line id="Straight Connector 1" o:spid="_x0000_s1027" style="position:absolute;left:0;text-align:left;z-index:251667456;visibility:visible" from="140.5pt,3.7pt" to="3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1HtgEAAMMDAAAOAAAAZHJzL2Uyb0RvYy54bWysU8GOEzEMvSPxD1HudGa60g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" strokecolor="#4472c4 [3204]" strokeweight=".5pt">
            <v:stroke joinstyle="miter"/>
          </v:line>
        </w:pict>
      </w:r>
    </w:p>
    <w:p w:rsidR="005F5E0B" w:rsidRPr="000F67D2" w:rsidRDefault="00D20E56" w:rsidP="008121B6">
      <w:pPr>
        <w:spacing w:line="360" w:lineRule="exact"/>
      </w:pPr>
      <w:r w:rsidRPr="000F67D2">
        <w:t xml:space="preserve">Ngày 04 và buổi sáng ngày 05/11/2019, </w:t>
      </w:r>
      <w:r w:rsidR="005F5E0B" w:rsidRPr="000F67D2">
        <w:t xml:space="preserve">các vị đại biểu Quốc hội đã thảo luận tại Hội trường </w:t>
      </w:r>
      <w:r w:rsidRPr="000F67D2">
        <w:t>dự thảo Nghị quyết về công tác phòng, chống tội phạm và vi phạm pháp luật, công tác của Viện kiểm sát nhân dân, của Tòa án nhân dân và công tác thi hành án</w:t>
      </w:r>
      <w:r w:rsidRPr="000F67D2">
        <w:rPr>
          <w:rStyle w:val="FootnoteReference"/>
        </w:rPr>
        <w:footnoteReference w:id="2"/>
      </w:r>
      <w:r w:rsidRPr="000F67D2">
        <w:t>. Ủy ban Thường vụ Quốc hội</w:t>
      </w:r>
      <w:r w:rsidR="009B4DC0" w:rsidRPr="000F67D2">
        <w:t xml:space="preserve"> đã chỉ đạo</w:t>
      </w:r>
      <w:r w:rsidRPr="000F67D2">
        <w:t xml:space="preserve"> Ủy ban Tư pháp</w:t>
      </w:r>
      <w:r w:rsidR="00522A70">
        <w:t xml:space="preserve"> của Quốc hội</w:t>
      </w:r>
      <w:r w:rsidRPr="000F67D2">
        <w:t xml:space="preserve"> chủ trì, phối hợp với Bộ Công an, Viện kiểm sát nhân dân tối cao, Tòa án nhân dân tối cao, Bộ Tư pháp và các cơ quan có liên quan nghiên cứu tiếp thu, chỉnh lý dự thảo Nghị quyết. </w:t>
      </w:r>
    </w:p>
    <w:p w:rsidR="00D20E56" w:rsidRPr="000F67D2" w:rsidRDefault="00370DEB" w:rsidP="008121B6">
      <w:pPr>
        <w:spacing w:line="360" w:lineRule="exact"/>
      </w:pPr>
      <w:r w:rsidRPr="000F67D2">
        <w:t>Ủy ban thường vụ Quốc hội (</w:t>
      </w:r>
      <w:r w:rsidR="005F5E0B" w:rsidRPr="000F67D2">
        <w:t>UBTVQH</w:t>
      </w:r>
      <w:r w:rsidRPr="000F67D2">
        <w:t>)</w:t>
      </w:r>
      <w:r w:rsidR="005F5E0B" w:rsidRPr="000F67D2">
        <w:t xml:space="preserve"> xin báo cáo </w:t>
      </w:r>
      <w:r w:rsidR="00D20E56" w:rsidRPr="000F67D2">
        <w:t xml:space="preserve">Quốc hội việc </w:t>
      </w:r>
      <w:r w:rsidR="005F5E0B" w:rsidRPr="000F67D2">
        <w:t>tiếp thu</w:t>
      </w:r>
      <w:r w:rsidR="0066106D" w:rsidRPr="000F67D2">
        <w:t xml:space="preserve"> chỉnh lý</w:t>
      </w:r>
      <w:r w:rsidR="00D20E56" w:rsidRPr="000F67D2">
        <w:t xml:space="preserve"> dự thảo Nghị quyết như sau:</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sz w:val="26"/>
          <w:szCs w:val="26"/>
        </w:rPr>
      </w:pPr>
      <w:r w:rsidRPr="000F67D2">
        <w:rPr>
          <w:rFonts w:eastAsia="Times New Roman"/>
          <w:b/>
          <w:sz w:val="26"/>
          <w:szCs w:val="26"/>
        </w:rPr>
        <w:t>I. Ý KIẾN CHUNG VỀ DỰ THẢO NGHỊ QUYẾT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rPr>
      </w:pPr>
      <w:r w:rsidRPr="000F67D2">
        <w:rPr>
          <w:rFonts w:eastAsia="Times New Roman"/>
          <w:b/>
        </w:rPr>
        <w:t>Một số ý kiến đề nghị: Nghị quyết không nên giao các chỉ tiêu cụ thể mà để các cơ quan tư pháp căn cứ vào tình hình thực tế chủ động tổ chức thực hiện; Quốc hội chỉ giám sát các cơ quan tư pháp thực hiện theo đúng quy định của các luật.</w:t>
      </w:r>
    </w:p>
    <w:p w:rsidR="001C479D" w:rsidRPr="000F67D2" w:rsidRDefault="00F30FE6"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bCs/>
          <w:lang w:val="it-IT"/>
        </w:rPr>
        <w:t>UBTVQH</w:t>
      </w:r>
      <w:r w:rsidR="001C479D" w:rsidRPr="000F67D2">
        <w:rPr>
          <w:rFonts w:eastAsia="Times New Roman"/>
          <w:lang w:val="vi-VN"/>
        </w:rPr>
        <w:t xml:space="preserve"> xin báo cáo như sau:các Nghị quyết của Quốc hội về công tác tư pháp được ban hành từ năm 2012 đến nay</w:t>
      </w:r>
      <w:r w:rsidR="001C479D" w:rsidRPr="000F67D2">
        <w:rPr>
          <w:rStyle w:val="FootnoteReference"/>
          <w:lang w:val="vi-VN"/>
        </w:rPr>
        <w:footnoteReference w:id="3"/>
      </w:r>
      <w:r w:rsidR="001C479D" w:rsidRPr="000F67D2">
        <w:rPr>
          <w:rFonts w:eastAsia="Times New Roman"/>
          <w:lang w:val="vi-VN"/>
        </w:rPr>
        <w:t xml:space="preserve"> đã quy định, giao nhiều chỉ tiêu công tác cụ thể đối với các cơ quan tư pháp. Đây là căn cứ quan trọng để các Bộ trưởng, Trưởng ngành giao nhiệm vụ trong toàn ngành; để từng đơn vị, cán bộ thực thi nhiệm vụ phấn đấu đạt chỉ tiêu yêu cầu; đồng thời là căn cứ để Quốc hội và cử tri giám sát, đánh giá kết quả công tác của các cơ quan tư pháp. Thực tiễn thực hiện các Nghị quyết của Quốc hội về công tác tư pháp cho thấy, việc đặt ra các chỉ tiêu là cần thiết, qua đó đã tạo </w:t>
      </w:r>
      <w:r w:rsidR="009B4DC0" w:rsidRPr="000F67D2">
        <w:rPr>
          <w:rFonts w:eastAsia="Times New Roman"/>
        </w:rPr>
        <w:t>được</w:t>
      </w:r>
      <w:r w:rsidR="001C479D" w:rsidRPr="000F67D2">
        <w:rPr>
          <w:rFonts w:eastAsia="Times New Roman"/>
          <w:lang w:val="vi-VN"/>
        </w:rPr>
        <w:t xml:space="preserve"> những chuyển biến tích cực trong hoạt động tư pháp so với </w:t>
      </w:r>
      <w:r w:rsidR="009B4DC0" w:rsidRPr="000F67D2">
        <w:rPr>
          <w:rFonts w:eastAsia="Times New Roman"/>
        </w:rPr>
        <w:t xml:space="preserve">các </w:t>
      </w:r>
      <w:r w:rsidR="001C479D" w:rsidRPr="000F67D2">
        <w:rPr>
          <w:rFonts w:eastAsia="Times New Roman"/>
          <w:lang w:val="vi-VN"/>
        </w:rPr>
        <w:t>giai đoạn trước đây được Quốc hội và cử tri ghi nhận</w:t>
      </w:r>
      <w:r w:rsidR="009B4DC0" w:rsidRPr="000F67D2">
        <w:rPr>
          <w:rFonts w:eastAsia="Times New Roman"/>
        </w:rPr>
        <w:t xml:space="preserve"> đánh giá cao</w:t>
      </w:r>
      <w:r w:rsidR="001C479D" w:rsidRPr="000F67D2">
        <w:rPr>
          <w:rFonts w:eastAsia="Times New Roman"/>
          <w:lang w:val="vi-VN"/>
        </w:rPr>
        <w:t>. Vì vậy, kế thừa các Nghị quyết hiện hành, đề nghị Quốc hội tiếp tục quy định các chỉ tiêu cụ thể đối với công tác tư pháp</w:t>
      </w:r>
      <w:r w:rsidR="00FC6423" w:rsidRPr="000F67D2">
        <w:rPr>
          <w:rFonts w:eastAsia="Times New Roman"/>
        </w:rPr>
        <w:t xml:space="preserve"> cho từng cơ quan</w:t>
      </w:r>
      <w:r w:rsidR="001C479D" w:rsidRPr="000F67D2">
        <w:rPr>
          <w:rFonts w:eastAsia="Times New Roman"/>
          <w:lang w:val="vi-VN"/>
        </w:rPr>
        <w:t xml:space="preserve"> trên cơ sở giữ các chỉ tiêu còn phù hợp, bổ sung mới và điều chỉnh một số chỉ tiêu nhằm đáp ứng yêu cầu đấu tranh phòng, chống vi phạm</w:t>
      </w:r>
      <w:r w:rsidR="00FC6423" w:rsidRPr="000F67D2">
        <w:rPr>
          <w:rFonts w:eastAsia="Times New Roman"/>
        </w:rPr>
        <w:t xml:space="preserve"> pháp luật</w:t>
      </w:r>
      <w:r w:rsidR="001C479D" w:rsidRPr="000F67D2">
        <w:rPr>
          <w:rFonts w:eastAsia="Times New Roman"/>
          <w:lang w:val="vi-VN"/>
        </w:rPr>
        <w:t>, tội phạm trong tình hình mới</w:t>
      </w:r>
      <w:r w:rsidR="00FC6423" w:rsidRPr="000F67D2">
        <w:rPr>
          <w:rFonts w:eastAsia="Times New Roman"/>
        </w:rPr>
        <w:t xml:space="preserve"> bảo đảm sự đồng bộ và tính khả thi trong tổ chức thực hiện</w:t>
      </w:r>
      <w:r w:rsidR="001C479D"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sz w:val="26"/>
          <w:szCs w:val="26"/>
          <w:lang w:val="vi-VN"/>
        </w:rPr>
      </w:pPr>
      <w:r w:rsidRPr="000F67D2">
        <w:rPr>
          <w:rFonts w:eastAsia="Times New Roman"/>
          <w:b/>
          <w:sz w:val="26"/>
          <w:szCs w:val="26"/>
          <w:lang w:val="vi-VN"/>
        </w:rPr>
        <w:lastRenderedPageBreak/>
        <w:t xml:space="preserve">II. VỀ CÁC CHỈ TIÊU ĐỐI VỚI NGÀNH KIỂM SÁT NHÂN DÂN </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lang w:val="vi-VN"/>
        </w:rPr>
      </w:pPr>
      <w:r w:rsidRPr="000F67D2">
        <w:rPr>
          <w:rFonts w:eastAsia="Times New Roman"/>
          <w:b/>
          <w:lang w:val="vi-VN"/>
        </w:rPr>
        <w:t xml:space="preserve">1. Có ý kiến cho rằng dự thảo Nghị quyết quy định </w:t>
      </w:r>
      <w:r w:rsidRPr="000F67D2">
        <w:rPr>
          <w:rFonts w:eastAsia="Times New Roman"/>
          <w:b/>
          <w:iCs/>
          <w:lang w:val="vi-VN"/>
        </w:rPr>
        <w:t>không bỏ lọt tội phạm</w:t>
      </w:r>
      <w:r w:rsidRPr="000F67D2">
        <w:rPr>
          <w:rFonts w:eastAsia="Times New Roman"/>
          <w:b/>
          <w:lang w:val="vi-VN"/>
        </w:rPr>
        <w:t xml:space="preserve"> là quá khắt khe; đề nghị sửa thành “</w:t>
      </w:r>
      <w:r w:rsidRPr="000F67D2">
        <w:rPr>
          <w:rFonts w:eastAsia="Times New Roman"/>
          <w:b/>
          <w:i/>
          <w:lang w:val="vi-VN"/>
        </w:rPr>
        <w:t>hạn chế thấp nhất việc bỏ lọt tội phạm</w:t>
      </w:r>
      <w:r w:rsidRPr="000F67D2">
        <w:rPr>
          <w:rFonts w:eastAsia="Times New Roman"/>
          <w:b/>
          <w:iCs/>
          <w:lang w:val="vi-VN"/>
        </w:rPr>
        <w:t>”</w:t>
      </w:r>
    </w:p>
    <w:p w:rsidR="005D3F0A" w:rsidRDefault="009615CD" w:rsidP="008121B6">
      <w:pPr>
        <w:pStyle w:val="ListParagraph"/>
        <w:tabs>
          <w:tab w:val="left" w:pos="810"/>
        </w:tabs>
        <w:spacing w:before="120" w:after="0" w:line="360" w:lineRule="exact"/>
        <w:ind w:left="0" w:firstLine="561"/>
        <w:contextualSpacing w:val="0"/>
        <w:jc w:val="both"/>
        <w:rPr>
          <w:lang w:eastAsia="en-GB"/>
        </w:rPr>
      </w:pPr>
      <w:r w:rsidRPr="000F67D2">
        <w:rPr>
          <w:bCs/>
          <w:lang w:val="it-IT"/>
        </w:rPr>
        <w:t>UBTVQH</w:t>
      </w:r>
      <w:r w:rsidR="001C479D" w:rsidRPr="000F67D2">
        <w:rPr>
          <w:rFonts w:eastAsia="Times New Roman"/>
          <w:lang w:val="vi-VN"/>
        </w:rPr>
        <w:t xml:space="preserve"> xin báo cáo như sau: các Nghị quyết hiện hành của Quốc hội về công tác tư pháp đều yêu cầu </w:t>
      </w:r>
      <w:r w:rsidR="001C479D" w:rsidRPr="000F67D2">
        <w:rPr>
          <w:rFonts w:eastAsia="Times New Roman"/>
          <w:i/>
          <w:lang w:val="vi-VN"/>
        </w:rPr>
        <w:t>“</w:t>
      </w:r>
      <w:r w:rsidR="001C479D" w:rsidRPr="000F67D2">
        <w:rPr>
          <w:i/>
          <w:lang w:val="vi-VN" w:eastAsia="en-GB"/>
        </w:rPr>
        <w:t>không để xảy ra trường hợp làm oan người vô tội hoặc bỏ lọt tội phạm”</w:t>
      </w:r>
      <w:r w:rsidR="001C479D" w:rsidRPr="000F67D2">
        <w:rPr>
          <w:lang w:val="vi-VN" w:eastAsia="en-GB"/>
        </w:rPr>
        <w:t xml:space="preserve">. Đây là </w:t>
      </w:r>
      <w:r w:rsidR="005D3F0A">
        <w:rPr>
          <w:lang w:eastAsia="en-GB"/>
        </w:rPr>
        <w:t xml:space="preserve">nguyên tắc trong hoạt động tố tụng, là </w:t>
      </w:r>
      <w:r w:rsidR="001C479D" w:rsidRPr="000F67D2">
        <w:rPr>
          <w:lang w:val="vi-VN" w:eastAsia="en-GB"/>
        </w:rPr>
        <w:t>căn cứ quan trọng định hướng hoạt động của các cơ quan tư pháp, phấn đấu nâng cao chất lượng điều tra, truy tố, xét xử nhằm bảo đảm việc giải quyết vụ án đúng người, đúng tội, đúng pháp luật</w:t>
      </w:r>
      <w:r w:rsidR="005D3F0A">
        <w:rPr>
          <w:lang w:eastAsia="en-GB"/>
        </w:rPr>
        <w:t>.</w:t>
      </w:r>
    </w:p>
    <w:p w:rsidR="001C479D" w:rsidRPr="000F67D2" w:rsidRDefault="001C479D" w:rsidP="008121B6">
      <w:pPr>
        <w:pStyle w:val="ListParagraph"/>
        <w:tabs>
          <w:tab w:val="left" w:pos="810"/>
        </w:tabs>
        <w:spacing w:before="120" w:after="0" w:line="360" w:lineRule="exact"/>
        <w:ind w:left="0" w:firstLine="561"/>
        <w:contextualSpacing w:val="0"/>
        <w:jc w:val="both"/>
        <w:rPr>
          <w:i/>
          <w:lang w:val="vi-VN" w:eastAsia="en-GB"/>
        </w:rPr>
      </w:pPr>
      <w:r w:rsidRPr="000F67D2">
        <w:rPr>
          <w:lang w:val="vi-VN" w:eastAsia="en-GB"/>
        </w:rPr>
        <w:t>Vì vậy, trước yêu cầu ngày càng cao của nhiệm vụ cải cách tư pháp, dự thảo Nghị quyết tiếp tục kế thừa quy định nêu trên của các Nghị quyết hiện hành. Đề nghị Quốc hội cho giữ như quy định của dự thảo Nghị quyết.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lang w:val="vi-VN"/>
        </w:rPr>
      </w:pPr>
      <w:r w:rsidRPr="000F67D2">
        <w:rPr>
          <w:rFonts w:eastAsia="Times New Roman"/>
          <w:b/>
          <w:lang w:val="vi-VN"/>
        </w:rPr>
        <w:t xml:space="preserve">2. Có ý kiến cho rằng quy định </w:t>
      </w:r>
      <w:r w:rsidRPr="000F67D2">
        <w:rPr>
          <w:rFonts w:eastAsia="Times New Roman"/>
          <w:b/>
          <w:iCs/>
          <w:lang w:val="vi-VN"/>
        </w:rPr>
        <w:t xml:space="preserve">bảo đảm tỷ lệ truy tố bị can đúng tội đạt trên 95% là </w:t>
      </w:r>
      <w:r w:rsidRPr="000F67D2">
        <w:rPr>
          <w:rFonts w:eastAsia="Times New Roman"/>
          <w:b/>
          <w:lang w:val="vi-VN"/>
        </w:rPr>
        <w:t>không phù hợp, vì như vậy còn 5% được phép truy tố sai tội</w:t>
      </w:r>
    </w:p>
    <w:p w:rsidR="001C479D"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bCs/>
          <w:lang w:val="it-IT"/>
        </w:rPr>
        <w:t>UBTVQH</w:t>
      </w:r>
      <w:r w:rsidR="001C479D" w:rsidRPr="000F67D2">
        <w:rPr>
          <w:rFonts w:eastAsia="Times New Roman"/>
          <w:lang w:val="vi-VN"/>
        </w:rPr>
        <w:t xml:space="preserve"> xin báo cáo như sau: các Nghị quyết hiện hành đều quy định tỷ lệ </w:t>
      </w:r>
      <w:r w:rsidR="00C3556F" w:rsidRPr="000F67D2">
        <w:rPr>
          <w:rFonts w:eastAsia="Times New Roman"/>
        </w:rPr>
        <w:t>Viện kiểm sát nhân dân</w:t>
      </w:r>
      <w:r w:rsidR="001C479D" w:rsidRPr="000F67D2">
        <w:rPr>
          <w:rFonts w:eastAsia="Times New Roman"/>
          <w:lang w:val="vi-VN"/>
        </w:rPr>
        <w:t xml:space="preserve"> truy tố đúng tội đạt </w:t>
      </w:r>
      <w:r w:rsidR="001C479D" w:rsidRPr="000F67D2">
        <w:rPr>
          <w:rFonts w:eastAsia="Times New Roman"/>
          <w:b/>
          <w:i/>
          <w:lang w:val="vi-VN"/>
        </w:rPr>
        <w:t>trên95%</w:t>
      </w:r>
      <w:r w:rsidR="001C479D" w:rsidRPr="000F67D2">
        <w:rPr>
          <w:rFonts w:eastAsia="Times New Roman"/>
          <w:lang w:val="vi-VN"/>
        </w:rPr>
        <w:t xml:space="preserve">, dự thảo Nghị quyết tiếp tục kế thừa chỉ tiêu </w:t>
      </w:r>
      <w:r w:rsidR="009B4DC0" w:rsidRPr="000F67D2">
        <w:rPr>
          <w:rFonts w:eastAsia="Times New Roman"/>
        </w:rPr>
        <w:t>này</w:t>
      </w:r>
      <w:r w:rsidR="001C479D"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iCs/>
        </w:rPr>
      </w:pPr>
      <w:r w:rsidRPr="000F67D2">
        <w:rPr>
          <w:rFonts w:eastAsia="Times New Roman"/>
          <w:lang w:val="vi-VN"/>
        </w:rPr>
        <w:t xml:space="preserve">Trong nhiều năm qua, </w:t>
      </w:r>
      <w:r w:rsidR="001E5EAE" w:rsidRPr="000F67D2">
        <w:rPr>
          <w:rFonts w:eastAsia="Times New Roman"/>
        </w:rPr>
        <w:t>Viện kiểm sát nhân dân</w:t>
      </w:r>
      <w:r w:rsidRPr="000F67D2">
        <w:rPr>
          <w:rFonts w:eastAsia="Times New Roman"/>
          <w:lang w:val="vi-VN"/>
        </w:rPr>
        <w:t xml:space="preserve"> đã tích cực triển khai nhiều giải pháp, trên cơ sở đó đạt và vượt chỉ tiêu này</w:t>
      </w:r>
      <w:r w:rsidR="009B4DC0" w:rsidRPr="000F67D2">
        <w:rPr>
          <w:rFonts w:eastAsia="Times New Roman"/>
        </w:rPr>
        <w:t>, riêng năm 2019 đạt</w:t>
      </w:r>
      <w:r w:rsidRPr="000F67D2">
        <w:rPr>
          <w:rFonts w:eastAsia="Times New Roman"/>
          <w:lang w:val="vi-VN"/>
        </w:rPr>
        <w:t xml:space="preserve"> tỷ lệ </w:t>
      </w:r>
      <w:r w:rsidRPr="000F67D2">
        <w:rPr>
          <w:rFonts w:eastAsia="Times New Roman"/>
          <w:b/>
          <w:i/>
          <w:lang w:val="vi-VN"/>
        </w:rPr>
        <w:t>99,9%</w:t>
      </w:r>
      <w:r w:rsidR="005D3F0A" w:rsidRPr="005D3F0A">
        <w:rPr>
          <w:rFonts w:eastAsia="Times New Roman"/>
          <w:bCs/>
          <w:iCs/>
        </w:rPr>
        <w:t xml:space="preserve">và mục tiêu phấn đấu đạt tỷ lệ </w:t>
      </w:r>
      <w:r w:rsidR="005D3F0A" w:rsidRPr="005358D3">
        <w:rPr>
          <w:rFonts w:eastAsia="Times New Roman"/>
          <w:b/>
          <w:iCs/>
        </w:rPr>
        <w:t>100%</w:t>
      </w:r>
      <w:r w:rsidRPr="000F67D2">
        <w:rPr>
          <w:rFonts w:eastAsia="Times New Roman"/>
          <w:lang w:val="vi-VN"/>
        </w:rPr>
        <w:t xml:space="preserve">. Tuy nhiên, vẫn còn một số ít trường hợp </w:t>
      </w:r>
      <w:r w:rsidRPr="000F67D2">
        <w:rPr>
          <w:rFonts w:eastAsia="Times New Roman"/>
          <w:lang w:val="vi-VN" w:eastAsia="vi-VN"/>
        </w:rPr>
        <w:t xml:space="preserve">truy tố sai tội danh, sai khung hình phạt dẫn đến </w:t>
      </w:r>
      <w:r w:rsidR="0099064F" w:rsidRPr="000F67D2">
        <w:rPr>
          <w:rFonts w:eastAsia="Times New Roman"/>
          <w:lang w:eastAsia="vi-VN"/>
        </w:rPr>
        <w:t>Tòa án nhân dân</w:t>
      </w:r>
      <w:r w:rsidRPr="000F67D2">
        <w:rPr>
          <w:rFonts w:eastAsia="Times New Roman"/>
          <w:lang w:val="vi-VN" w:eastAsia="vi-VN"/>
        </w:rPr>
        <w:t xml:space="preserve"> phải </w:t>
      </w:r>
      <w:r w:rsidRPr="000F67D2">
        <w:rPr>
          <w:rFonts w:eastAsia="Times New Roman"/>
          <w:lang w:val="pt-BR" w:eastAsia="vi-VN"/>
        </w:rPr>
        <w:t xml:space="preserve">xét xử về khoản khác trong cùng điều luật hoặc tội danh khác bằng hoặc nhẹ hơn tội danh </w:t>
      </w:r>
      <w:r w:rsidR="001E5EAE" w:rsidRPr="000F67D2">
        <w:rPr>
          <w:rFonts w:eastAsia="Times New Roman"/>
        </w:rPr>
        <w:t>Viện kiểm sát nhân dân</w:t>
      </w:r>
      <w:r w:rsidRPr="000F67D2">
        <w:rPr>
          <w:rFonts w:eastAsia="Times New Roman"/>
          <w:lang w:val="pt-BR" w:eastAsia="vi-VN"/>
        </w:rPr>
        <w:t xml:space="preserve"> đã truy tố</w:t>
      </w:r>
      <w:r w:rsidRPr="000F67D2">
        <w:rPr>
          <w:rFonts w:eastAsia="Times New Roman"/>
          <w:lang w:val="vi-VN" w:eastAsia="vi-VN"/>
        </w:rPr>
        <w:t>. Có nhiều nguyên nhân dẫn đến việc còn để xảy ra một số trường hợp truy tố sai tội danh, sai khung hình phạt, trong đó có nguyên nhân</w:t>
      </w:r>
      <w:r w:rsidR="00522A70">
        <w:rPr>
          <w:rFonts w:eastAsia="Times New Roman"/>
          <w:lang w:eastAsia="vi-VN"/>
        </w:rPr>
        <w:t>:</w:t>
      </w:r>
      <w:r w:rsidRPr="000F67D2">
        <w:rPr>
          <w:rFonts w:eastAsia="Times New Roman"/>
          <w:lang w:val="vi-VN" w:eastAsia="vi-VN"/>
        </w:rPr>
        <w:t xml:space="preserve"> một số vụ án </w:t>
      </w:r>
      <w:r w:rsidR="00522A70">
        <w:rPr>
          <w:rFonts w:eastAsia="Times New Roman"/>
          <w:lang w:eastAsia="vi-VN"/>
        </w:rPr>
        <w:t xml:space="preserve">khi </w:t>
      </w:r>
      <w:r w:rsidRPr="000F67D2">
        <w:rPr>
          <w:rFonts w:eastAsia="Times New Roman"/>
          <w:lang w:val="vi-VN" w:eastAsia="vi-VN"/>
        </w:rPr>
        <w:t xml:space="preserve">đến phiên tòa bị cáo và những người tham gia tố tụng thay đổi hoàn toàn lời khai trong giai đoan điều tra, đưa ra các chứng cứ mới. Vì vậy, để cân đối giữa yêu cầu bảo đảm truy tố đúng người, đúng tội, đúng pháp luật và khả năng thực hiện nhiệm vụ của ngành Kiểm sát nhân dân trong điều kiện tội phạm gia tăng, thủ đoạn ngày càng tinh vi, </w:t>
      </w:r>
      <w:r w:rsidR="00FC6423" w:rsidRPr="000F67D2">
        <w:rPr>
          <w:rFonts w:eastAsia="Times New Roman"/>
          <w:lang w:eastAsia="vi-VN"/>
        </w:rPr>
        <w:t xml:space="preserve">tính chất ngày càng nghiêm trọng, </w:t>
      </w:r>
      <w:r w:rsidR="009615CD" w:rsidRPr="000F67D2">
        <w:rPr>
          <w:bCs/>
          <w:lang w:val="it-IT"/>
        </w:rPr>
        <w:t>UBTVQH</w:t>
      </w:r>
      <w:r w:rsidRPr="000F67D2">
        <w:rPr>
          <w:rFonts w:eastAsia="Times New Roman"/>
          <w:iCs/>
          <w:lang w:val="vi-VN"/>
        </w:rPr>
        <w:t xml:space="preserve"> đề nghị </w:t>
      </w:r>
      <w:r w:rsidRPr="000F67D2">
        <w:rPr>
          <w:rFonts w:eastAsia="Times New Roman"/>
          <w:lang w:val="vi-VN"/>
        </w:rPr>
        <w:t xml:space="preserve">tiếp tục kế thừa các Nghị quyết hiện hành, quy định tỷ lệ </w:t>
      </w:r>
      <w:r w:rsidRPr="000F67D2">
        <w:rPr>
          <w:rFonts w:eastAsia="Times New Roman"/>
          <w:iCs/>
          <w:lang w:val="vi-VN"/>
        </w:rPr>
        <w:t xml:space="preserve">truy tố bị can đúng tội đạt </w:t>
      </w:r>
      <w:r w:rsidRPr="000F67D2">
        <w:rPr>
          <w:rFonts w:eastAsia="Times New Roman"/>
          <w:b/>
          <w:i/>
          <w:iCs/>
          <w:lang w:val="vi-VN"/>
        </w:rPr>
        <w:t>trên95%</w:t>
      </w:r>
      <w:r w:rsidR="00FC6423" w:rsidRPr="000F67D2">
        <w:rPr>
          <w:rFonts w:eastAsia="Times New Roman"/>
          <w:bCs/>
        </w:rPr>
        <w:t>như quy định của Nghị quyết hiện hành</w:t>
      </w:r>
      <w:r w:rsidRPr="000F67D2">
        <w:rPr>
          <w:rFonts w:eastAsia="Times New Roman"/>
          <w:iCs/>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spacing w:val="-2"/>
          <w:lang w:val="vi-VN"/>
        </w:rPr>
      </w:pPr>
      <w:r w:rsidRPr="000F67D2">
        <w:rPr>
          <w:rFonts w:eastAsia="Times New Roman"/>
          <w:b/>
          <w:spacing w:val="-2"/>
          <w:lang w:val="vi-VN"/>
        </w:rPr>
        <w:t>3. Có ý kiến đề nghị chỉnh lý, xem xét lại quy định của dự thảo Nghị quyết về “</w:t>
      </w:r>
      <w:r w:rsidRPr="000F67D2">
        <w:rPr>
          <w:rFonts w:eastAsia="Times New Roman"/>
          <w:b/>
          <w:i/>
          <w:spacing w:val="-2"/>
          <w:lang w:val="vi-VN"/>
        </w:rPr>
        <w:t xml:space="preserve">bảo đảm tất cả các quyết định phê chuẩn áp dụng các biện pháp ngăn chặn của </w:t>
      </w:r>
      <w:r w:rsidR="00C3556F" w:rsidRPr="000F67D2">
        <w:rPr>
          <w:rFonts w:eastAsia="Times New Roman"/>
          <w:b/>
          <w:i/>
          <w:spacing w:val="-2"/>
        </w:rPr>
        <w:t>Viện kiểm sát nhân dân</w:t>
      </w:r>
      <w:r w:rsidRPr="000F67D2">
        <w:rPr>
          <w:rFonts w:eastAsia="Times New Roman"/>
          <w:b/>
          <w:i/>
          <w:spacing w:val="-2"/>
          <w:lang w:val="vi-VN"/>
        </w:rPr>
        <w:t xml:space="preserve"> phải đúng quy định của pháp luật</w:t>
      </w:r>
      <w:r w:rsidRPr="000F67D2">
        <w:rPr>
          <w:rFonts w:eastAsia="Times New Roman"/>
          <w:b/>
          <w:spacing w:val="-2"/>
          <w:lang w:val="vi-VN"/>
        </w:rPr>
        <w:t xml:space="preserve">” để phù hợp với thực tiễn; có ý kiến đề nghị quy định </w:t>
      </w:r>
      <w:r w:rsidRPr="000F67D2">
        <w:rPr>
          <w:rFonts w:eastAsia="Times New Roman"/>
          <w:b/>
          <w:iCs/>
          <w:spacing w:val="-2"/>
          <w:lang w:val="vi-VN"/>
        </w:rPr>
        <w:t>tỷ lệ này từ 96% đến 98%</w:t>
      </w:r>
    </w:p>
    <w:p w:rsidR="001C479D"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spacing w:val="-2"/>
          <w:lang w:val="vi-VN"/>
        </w:rPr>
      </w:pPr>
      <w:r w:rsidRPr="000F67D2">
        <w:rPr>
          <w:bCs/>
          <w:lang w:val="it-IT"/>
        </w:rPr>
        <w:lastRenderedPageBreak/>
        <w:t>UBTVQH</w:t>
      </w:r>
      <w:r w:rsidR="001C479D" w:rsidRPr="000F67D2">
        <w:rPr>
          <w:rFonts w:eastAsia="Times New Roman"/>
          <w:lang w:val="vi-VN"/>
        </w:rPr>
        <w:t xml:space="preserve"> xin báo cáo như sau: </w:t>
      </w:r>
      <w:r w:rsidR="001C479D" w:rsidRPr="000F67D2">
        <w:rPr>
          <w:rFonts w:eastAsia="Times New Roman"/>
          <w:spacing w:val="-2"/>
          <w:lang w:val="vi-VN"/>
        </w:rPr>
        <w:t xml:space="preserve">các Nghị quyết hiện hành chưa </w:t>
      </w:r>
      <w:r w:rsidR="00FC6423" w:rsidRPr="000F67D2">
        <w:rPr>
          <w:rFonts w:eastAsia="Times New Roman"/>
          <w:spacing w:val="-2"/>
        </w:rPr>
        <w:t xml:space="preserve">đề ra </w:t>
      </w:r>
      <w:r w:rsidR="001C479D" w:rsidRPr="000F67D2">
        <w:rPr>
          <w:rFonts w:eastAsia="Times New Roman"/>
          <w:spacing w:val="-2"/>
          <w:lang w:val="vi-VN"/>
        </w:rPr>
        <w:t xml:space="preserve">yêu cầu cụ thể đối với công tác xét phê chuẩn áp dụng các biện pháp ngăn chặn của </w:t>
      </w:r>
      <w:r w:rsidR="00C3556F" w:rsidRPr="000F67D2">
        <w:rPr>
          <w:rFonts w:eastAsia="Times New Roman"/>
          <w:spacing w:val="-2"/>
        </w:rPr>
        <w:t>Viện kiểm sát nhân dân</w:t>
      </w:r>
      <w:r w:rsidR="001C479D" w:rsidRPr="000F67D2">
        <w:rPr>
          <w:rFonts w:eastAsia="Times New Roman"/>
          <w:spacing w:val="-2"/>
          <w:lang w:val="vi-VN"/>
        </w:rPr>
        <w:t xml:space="preserve">. </w:t>
      </w:r>
      <w:r w:rsidR="001C479D" w:rsidRPr="000F67D2">
        <w:rPr>
          <w:rFonts w:eastAsia="Times New Roman"/>
          <w:lang w:val="vi-VN"/>
        </w:rPr>
        <w:t>Dự thảo Nghị quyết bổ sung yêu cầu “</w:t>
      </w:r>
      <w:r w:rsidR="001C479D" w:rsidRPr="000F67D2">
        <w:rPr>
          <w:i/>
          <w:lang w:val="vi-VN" w:eastAsia="en-GB"/>
        </w:rPr>
        <w:t xml:space="preserve">bảo đảm </w:t>
      </w:r>
      <w:r w:rsidR="001C479D" w:rsidRPr="005358D3">
        <w:rPr>
          <w:b/>
          <w:bCs/>
          <w:i/>
          <w:lang w:val="vi-VN" w:eastAsia="en-GB"/>
        </w:rPr>
        <w:t>tất cả các</w:t>
      </w:r>
      <w:r w:rsidR="001C479D" w:rsidRPr="000F67D2">
        <w:rPr>
          <w:i/>
          <w:lang w:val="vi-VN" w:eastAsia="en-GB"/>
        </w:rPr>
        <w:t xml:space="preserve"> quyết định phê chuẩn áp dụng các biện pháp ngăn chặn đúng pháp luật</w:t>
      </w:r>
      <w:r w:rsidR="001C479D"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spacing w:val="-2"/>
          <w:lang w:val="vi-VN"/>
        </w:rPr>
      </w:pPr>
      <w:r w:rsidRPr="000F67D2">
        <w:rPr>
          <w:rFonts w:eastAsia="Times New Roman"/>
          <w:spacing w:val="-2"/>
          <w:lang w:val="vi-VN"/>
        </w:rPr>
        <w:t>Việc áp dụng các biện pháp ngăn chặn có</w:t>
      </w:r>
      <w:r w:rsidRPr="000F67D2">
        <w:rPr>
          <w:rFonts w:eastAsia="Times New Roman"/>
          <w:lang w:val="vi-VN"/>
        </w:rPr>
        <w:t xml:space="preserve"> liên quan trực tiếp tới quyền con người, quyền công dân, nên phải được tiến hành thận trọng, chặt chẽ, đúng quy định pháp luật. Vì vậy, Bộ luật tố tụng hình sự quy định trách nhiệm của </w:t>
      </w:r>
      <w:r w:rsidR="001E5EAE" w:rsidRPr="000F67D2">
        <w:rPr>
          <w:rFonts w:eastAsia="Times New Roman"/>
        </w:rPr>
        <w:t>Viện kiểm sát nhân dân</w:t>
      </w:r>
      <w:r w:rsidRPr="000F67D2">
        <w:rPr>
          <w:rFonts w:eastAsia="Times New Roman"/>
          <w:lang w:val="vi-VN"/>
        </w:rPr>
        <w:t xml:space="preserve"> phải phê chuẩn việc áp dụng các biện pháp ngăn chặn (bắt người bị giữ trong trường hợp khẩn cấp, gia hạn tạm giữ, tạm giam, bảo lĩnh, đặt tiền để bảo đảm)</w:t>
      </w:r>
      <w:r w:rsidRPr="000F67D2">
        <w:rPr>
          <w:rFonts w:eastAsia="Times New Roman"/>
        </w:rPr>
        <w:t xml:space="preserve">. </w:t>
      </w:r>
      <w:r w:rsidRPr="000F67D2">
        <w:rPr>
          <w:rFonts w:eastAsia="Times New Roman"/>
          <w:lang w:val="vi-VN"/>
        </w:rPr>
        <w:t xml:space="preserve">Trước yêu cầu của cải cách tư pháp về bảo đảm quyền con người, quyền công dân và bảo đảm phù hợp với các luật trong lĩnh vực tư pháp, việc quy định yêu cầu này đối với </w:t>
      </w:r>
      <w:r w:rsidR="001E5EAE" w:rsidRPr="000F67D2">
        <w:rPr>
          <w:rFonts w:eastAsia="Times New Roman"/>
        </w:rPr>
        <w:t>Viện kiểm sát nhân dân</w:t>
      </w:r>
      <w:r w:rsidRPr="000F67D2">
        <w:rPr>
          <w:rFonts w:eastAsia="Times New Roman"/>
          <w:lang w:val="vi-VN"/>
        </w:rPr>
        <w:t xml:space="preserve"> là cần thiết. Đồng thời, tiếp thu ý kiến của </w:t>
      </w:r>
      <w:r w:rsidR="001E5EAE" w:rsidRPr="000F67D2">
        <w:rPr>
          <w:rFonts w:eastAsia="Times New Roman"/>
        </w:rPr>
        <w:t>đại biểu Quốc hội</w:t>
      </w:r>
      <w:r w:rsidRPr="000F67D2">
        <w:rPr>
          <w:rFonts w:eastAsia="Times New Roman"/>
          <w:lang w:val="vi-VN"/>
        </w:rPr>
        <w:t xml:space="preserve"> và ý kiến của </w:t>
      </w:r>
      <w:r w:rsidR="001E5EAE" w:rsidRPr="000F67D2">
        <w:rPr>
          <w:rFonts w:eastAsia="Times New Roman"/>
        </w:rPr>
        <w:t>Viện kiểm sát nhân dân</w:t>
      </w:r>
      <w:r w:rsidRPr="000F67D2">
        <w:rPr>
          <w:rFonts w:eastAsia="Times New Roman"/>
          <w:lang w:val="vi-VN"/>
        </w:rPr>
        <w:t xml:space="preserve"> tối cao tại Công văn số </w:t>
      </w:r>
      <w:r w:rsidRPr="000F67D2">
        <w:rPr>
          <w:rFonts w:eastAsia="Times New Roman"/>
        </w:rPr>
        <w:t xml:space="preserve">68/VKSTC </w:t>
      </w:r>
      <w:r w:rsidRPr="000F67D2">
        <w:rPr>
          <w:rFonts w:eastAsia="Times New Roman"/>
          <w:lang w:val="vi-VN"/>
        </w:rPr>
        <w:t xml:space="preserve">ngày </w:t>
      </w:r>
      <w:r w:rsidRPr="000F67D2">
        <w:rPr>
          <w:rFonts w:eastAsia="Times New Roman"/>
        </w:rPr>
        <w:t>28</w:t>
      </w:r>
      <w:r w:rsidRPr="000F67D2">
        <w:rPr>
          <w:rFonts w:eastAsia="Times New Roman"/>
          <w:lang w:val="vi-VN"/>
        </w:rPr>
        <w:t>/10/2019, dự thảo Nghị quyết chỉnh lý thành “</w:t>
      </w:r>
      <w:r w:rsidRPr="000F67D2">
        <w:rPr>
          <w:rFonts w:eastAsia="Times New Roman"/>
          <w:i/>
          <w:spacing w:val="-2"/>
          <w:lang w:val="vi-VN"/>
        </w:rPr>
        <w:t xml:space="preserve">bảo đảm </w:t>
      </w:r>
      <w:r w:rsidRPr="005358D3">
        <w:rPr>
          <w:rFonts w:eastAsia="Times New Roman"/>
          <w:b/>
          <w:bCs/>
          <w:i/>
          <w:spacing w:val="-2"/>
          <w:lang w:val="vi-VN"/>
        </w:rPr>
        <w:t>các</w:t>
      </w:r>
      <w:r w:rsidRPr="000F67D2">
        <w:rPr>
          <w:rFonts w:eastAsia="Times New Roman"/>
          <w:i/>
          <w:spacing w:val="-2"/>
          <w:lang w:val="vi-VN"/>
        </w:rPr>
        <w:t xml:space="preserve"> quyết định phê chuẩn áp dụng các biện pháp ngăn chặn đúng quy định của pháp luật</w:t>
      </w:r>
      <w:r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rPr>
      </w:pPr>
      <w:r w:rsidRPr="000F67D2">
        <w:rPr>
          <w:rFonts w:eastAsia="Times New Roman"/>
          <w:b/>
          <w:lang w:val="vi-VN"/>
        </w:rPr>
        <w:t xml:space="preserve">4. Một số ý kiến đề nghị </w:t>
      </w:r>
      <w:r w:rsidR="00FC6423" w:rsidRPr="000F67D2">
        <w:rPr>
          <w:rFonts w:eastAsia="Times New Roman"/>
          <w:b/>
        </w:rPr>
        <w:t xml:space="preserve">không </w:t>
      </w:r>
      <w:r w:rsidRPr="000F67D2">
        <w:rPr>
          <w:rFonts w:eastAsia="Times New Roman"/>
          <w:b/>
          <w:lang w:val="vi-VN"/>
        </w:rPr>
        <w:t xml:space="preserve">quy định tỷ lệ kháng nghị phúc thẩm của Viện kiểm sát ngang cấp chiếm trên 60% tổng số kháng nghị phúc thẩm của Viện kiểm sát </w:t>
      </w:r>
      <w:r w:rsidR="00FC6423" w:rsidRPr="000F67D2">
        <w:rPr>
          <w:rFonts w:eastAsia="Times New Roman"/>
          <w:b/>
        </w:rPr>
        <w:t>mà chỉ nên quy định chung là “</w:t>
      </w:r>
      <w:r w:rsidR="00FC6423" w:rsidRPr="000F67D2">
        <w:rPr>
          <w:rFonts w:eastAsia="Times New Roman"/>
          <w:b/>
          <w:i/>
          <w:iCs/>
        </w:rPr>
        <w:t>nâng cao trách nhiệm kháng nghị phúc thẩm của Viện kiểm sát ngang cấp</w:t>
      </w:r>
      <w:r w:rsidR="00FC6423" w:rsidRPr="000F67D2">
        <w:rPr>
          <w:rFonts w:eastAsia="Times New Roman"/>
        </w:rPr>
        <w:t>”</w:t>
      </w:r>
    </w:p>
    <w:p w:rsidR="009B4DC0"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rPr>
      </w:pPr>
      <w:r w:rsidRPr="000F67D2">
        <w:rPr>
          <w:bCs/>
          <w:lang w:val="it-IT"/>
        </w:rPr>
        <w:t>UBTVQH</w:t>
      </w:r>
      <w:r w:rsidR="00FC6423" w:rsidRPr="000F67D2">
        <w:rPr>
          <w:rFonts w:eastAsia="Times New Roman"/>
        </w:rPr>
        <w:t xml:space="preserve">nhận thấy </w:t>
      </w:r>
      <w:r w:rsidR="009B4DC0" w:rsidRPr="000F67D2">
        <w:rPr>
          <w:rFonts w:eastAsia="Times New Roman"/>
        </w:rPr>
        <w:t>ý kiến này là hợp lý, xin tiếp thu và không quy định tỷ lệ kháng nghị phúc thẩm của Viện kiểm sát ngang cấp.</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b/>
          <w:iCs/>
          <w:lang w:val="vi-VN"/>
        </w:rPr>
      </w:pPr>
      <w:r w:rsidRPr="000F67D2">
        <w:rPr>
          <w:rFonts w:eastAsia="Times New Roman"/>
          <w:b/>
          <w:lang w:val="vi-VN"/>
        </w:rPr>
        <w:t xml:space="preserve">5. Một số ý kiến đề nghị quy định tỷ lệ kháng nghị giám đốc thẩm, tái thẩm của </w:t>
      </w:r>
      <w:r w:rsidR="00C3556F" w:rsidRPr="000F67D2">
        <w:rPr>
          <w:rFonts w:eastAsia="Times New Roman"/>
          <w:b/>
        </w:rPr>
        <w:t>Viện kiểm sát nhân dân</w:t>
      </w:r>
      <w:r w:rsidRPr="000F67D2">
        <w:rPr>
          <w:rFonts w:eastAsia="Times New Roman"/>
          <w:b/>
          <w:lang w:val="vi-VN"/>
        </w:rPr>
        <w:t xml:space="preserve"> được Tòa án chấp thuận đạt trên 70%</w:t>
      </w:r>
    </w:p>
    <w:p w:rsidR="001C479D"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bCs/>
          <w:lang w:val="it-IT"/>
        </w:rPr>
        <w:t>UBTVQH</w:t>
      </w:r>
      <w:r w:rsidR="001C479D" w:rsidRPr="000F67D2">
        <w:rPr>
          <w:rFonts w:eastAsia="Times New Roman"/>
          <w:lang w:val="vi-VN"/>
        </w:rPr>
        <w:t xml:space="preserve"> xin báo cáo như sau: </w:t>
      </w:r>
      <w:r w:rsidR="001C479D" w:rsidRPr="000F67D2">
        <w:rPr>
          <w:rFonts w:eastAsia="Times New Roman"/>
          <w:iCs/>
          <w:lang w:val="vi-VN"/>
        </w:rPr>
        <w:t xml:space="preserve">các Nghị quyết hiện hành quy định </w:t>
      </w:r>
      <w:r w:rsidR="001C479D" w:rsidRPr="000F67D2">
        <w:rPr>
          <w:rFonts w:eastAsia="Times New Roman"/>
          <w:lang w:val="vi-VN"/>
        </w:rPr>
        <w:t xml:space="preserve">tỷ lệ kháng nghị giám đốc thẩm, tái thẩm của </w:t>
      </w:r>
      <w:r w:rsidR="001E5EAE" w:rsidRPr="000F67D2">
        <w:rPr>
          <w:rFonts w:eastAsia="Times New Roman"/>
        </w:rPr>
        <w:t>Viện kiểm sát nhân dân</w:t>
      </w:r>
      <w:r w:rsidR="001C479D" w:rsidRPr="000F67D2">
        <w:rPr>
          <w:rFonts w:eastAsia="Times New Roman"/>
          <w:lang w:val="vi-VN"/>
        </w:rPr>
        <w:t xml:space="preserve"> được Tòa án chấp nhận đạt </w:t>
      </w:r>
      <w:r w:rsidR="001C479D" w:rsidRPr="000F67D2">
        <w:rPr>
          <w:rFonts w:eastAsia="Times New Roman"/>
          <w:b/>
          <w:i/>
          <w:lang w:val="vi-VN"/>
        </w:rPr>
        <w:t>trên 70%</w:t>
      </w:r>
      <w:r w:rsidR="001C479D" w:rsidRPr="000F67D2">
        <w:rPr>
          <w:rFonts w:eastAsia="Times New Roman"/>
          <w:lang w:val="vi-VN"/>
        </w:rPr>
        <w:t xml:space="preserve">; dự thảo Nghị quyết nâng tỷ lệ lên thành </w:t>
      </w:r>
      <w:r w:rsidR="001C479D" w:rsidRPr="000F67D2">
        <w:rPr>
          <w:rFonts w:eastAsia="Times New Roman"/>
          <w:b/>
          <w:i/>
          <w:lang w:val="vi-VN"/>
        </w:rPr>
        <w:t>trên 75%</w:t>
      </w:r>
      <w:r w:rsidR="001C479D"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rFonts w:eastAsia="Times New Roman"/>
          <w:lang w:val="vi-VN"/>
        </w:rPr>
        <w:t xml:space="preserve">Bản án, quyết định bị kháng nghị theo trình tự giám đốc thẩm, tái thẩm là bản án, quyết định đã có hiệu lực pháp luật, do đó yêu cầu đặt ra đối với công tác kháng nghị là phải bảo đảm tính chính xác cao để không ảnh hưởng đến quyền và lợi ích hợp pháp của những người có liên quan. Nhiều năm qua, ngành Kiểm sát nhân dân đã luôn cố gắng đạt và vượt cao chỉ tiêu về kháng nghị giám đốc thẩm, tái thẩm, trung bình trong </w:t>
      </w:r>
      <w:r w:rsidRPr="005358D3">
        <w:rPr>
          <w:rFonts w:eastAsia="Times New Roman"/>
          <w:b/>
          <w:bCs/>
          <w:lang w:val="vi-VN"/>
        </w:rPr>
        <w:t>03</w:t>
      </w:r>
      <w:r w:rsidRPr="000F67D2">
        <w:rPr>
          <w:rFonts w:eastAsia="Times New Roman"/>
          <w:lang w:val="vi-VN"/>
        </w:rPr>
        <w:t xml:space="preserve"> năm gần đây đạt </w:t>
      </w:r>
      <w:r w:rsidRPr="005358D3">
        <w:rPr>
          <w:rFonts w:eastAsia="Times New Roman"/>
          <w:b/>
          <w:bCs/>
          <w:lang w:val="vi-VN"/>
        </w:rPr>
        <w:t>79,6%</w:t>
      </w:r>
      <w:r w:rsidRPr="000F67D2">
        <w:rPr>
          <w:rFonts w:eastAsia="Times New Roman"/>
          <w:lang w:val="vi-VN"/>
        </w:rPr>
        <w:t xml:space="preserve"> (năm 2017: </w:t>
      </w:r>
      <w:r w:rsidRPr="005358D3">
        <w:rPr>
          <w:rFonts w:eastAsia="Times New Roman"/>
          <w:b/>
          <w:bCs/>
          <w:lang w:val="vi-VN"/>
        </w:rPr>
        <w:t>87,5%</w:t>
      </w:r>
      <w:r w:rsidRPr="000F67D2">
        <w:rPr>
          <w:rFonts w:eastAsia="Times New Roman"/>
          <w:lang w:val="vi-VN"/>
        </w:rPr>
        <w:t xml:space="preserve">, năm 2018: </w:t>
      </w:r>
      <w:r w:rsidRPr="005358D3">
        <w:rPr>
          <w:rFonts w:eastAsia="Times New Roman"/>
          <w:b/>
          <w:bCs/>
          <w:lang w:val="vi-VN"/>
        </w:rPr>
        <w:t>76,5%</w:t>
      </w:r>
      <w:r w:rsidRPr="000F67D2">
        <w:rPr>
          <w:rFonts w:eastAsia="Times New Roman"/>
          <w:lang w:val="vi-VN"/>
        </w:rPr>
        <w:t xml:space="preserve">, năm 2019: </w:t>
      </w:r>
      <w:r w:rsidRPr="005358D3">
        <w:rPr>
          <w:rFonts w:eastAsia="Times New Roman"/>
          <w:b/>
          <w:bCs/>
          <w:lang w:val="vi-VN"/>
        </w:rPr>
        <w:t>74,8%</w:t>
      </w:r>
      <w:r w:rsidRPr="000F67D2">
        <w:rPr>
          <w:rFonts w:eastAsia="Times New Roman"/>
          <w:lang w:val="vi-VN"/>
        </w:rPr>
        <w:t>)</w:t>
      </w:r>
      <w:r w:rsidRPr="000F67D2">
        <w:rPr>
          <w:rStyle w:val="FootnoteReference"/>
          <w:b/>
          <w:lang w:val="vi-VN"/>
        </w:rPr>
        <w:footnoteReference w:id="4"/>
      </w:r>
      <w:r w:rsidRPr="000F67D2">
        <w:rPr>
          <w:rFonts w:eastAsia="Times New Roman"/>
          <w:lang w:val="vi-VN"/>
        </w:rPr>
        <w:t xml:space="preserve">. Vì vậy, cùng với việc ghi nhận kết quả tích cực ngành Kiểm sát nhân dân đã đạt được và trên cơ sở </w:t>
      </w:r>
      <w:r w:rsidRPr="000F67D2">
        <w:rPr>
          <w:rFonts w:eastAsia="Times New Roman"/>
          <w:lang w:val="vi-VN" w:eastAsia="vi-VN"/>
        </w:rPr>
        <w:t xml:space="preserve">khả năng </w:t>
      </w:r>
      <w:r w:rsidRPr="000F67D2">
        <w:rPr>
          <w:rFonts w:eastAsia="Times New Roman"/>
          <w:lang w:val="vi-VN" w:eastAsia="vi-VN"/>
        </w:rPr>
        <w:lastRenderedPageBreak/>
        <w:t xml:space="preserve">thực hiện nhiệm vụ của ngành Kiểm sát nhân dân, </w:t>
      </w:r>
      <w:r w:rsidR="009615CD" w:rsidRPr="000F67D2">
        <w:rPr>
          <w:bCs/>
          <w:lang w:val="it-IT"/>
        </w:rPr>
        <w:t>UBTVQH</w:t>
      </w:r>
      <w:r w:rsidRPr="000F67D2">
        <w:rPr>
          <w:rFonts w:eastAsia="Times New Roman"/>
          <w:lang w:val="vi-VN"/>
        </w:rPr>
        <w:t xml:space="preserve"> đề nghị cho giữ chỉ tiêu về tỷ lệ kháng nghị giám đốc thẩm, tái thẩm của </w:t>
      </w:r>
      <w:r w:rsidR="001E5EAE" w:rsidRPr="000F67D2">
        <w:rPr>
          <w:rFonts w:eastAsia="Times New Roman"/>
        </w:rPr>
        <w:t>Viện kiểm sát nhân dân</w:t>
      </w:r>
      <w:r w:rsidRPr="000F67D2">
        <w:rPr>
          <w:rFonts w:eastAsia="Times New Roman"/>
          <w:lang w:val="vi-VN"/>
        </w:rPr>
        <w:t xml:space="preserve"> được Tòa án chấp thuận đạt </w:t>
      </w:r>
      <w:r w:rsidRPr="000F67D2">
        <w:rPr>
          <w:rFonts w:eastAsia="Times New Roman"/>
          <w:b/>
          <w:i/>
          <w:lang w:val="vi-VN"/>
        </w:rPr>
        <w:t>trên 75%</w:t>
      </w:r>
      <w:r w:rsidRPr="000F67D2">
        <w:rPr>
          <w:rFonts w:eastAsia="Times New Roman"/>
          <w:lang w:val="vi-VN"/>
        </w:rPr>
        <w:t xml:space="preserve"> như dự thảo Nghị quyết.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rFonts w:eastAsia="Times New Roman"/>
          <w:b/>
          <w:iCs/>
          <w:lang w:val="vi-VN"/>
        </w:rPr>
        <w:t xml:space="preserve">6. </w:t>
      </w:r>
      <w:r w:rsidRPr="000F67D2">
        <w:rPr>
          <w:rFonts w:eastAsia="Times New Roman"/>
          <w:b/>
          <w:lang w:val="vi-VN"/>
        </w:rPr>
        <w:t>Có ý kiến đề nghị quy định giảm tỷ lệ xử lý tố giác, tin báo tội phạm, kiến nghị khởi tố của Cơ quan điều tra Viện kiểm sát nhân dân tối cao xuống còn 80%</w:t>
      </w:r>
    </w:p>
    <w:p w:rsidR="001C479D"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lang w:val="vi-VN"/>
        </w:rPr>
      </w:pPr>
      <w:r w:rsidRPr="000F67D2">
        <w:rPr>
          <w:bCs/>
          <w:lang w:val="it-IT"/>
        </w:rPr>
        <w:t>UBTVQH</w:t>
      </w:r>
      <w:r w:rsidR="001C479D" w:rsidRPr="000F67D2">
        <w:rPr>
          <w:rFonts w:eastAsia="Times New Roman"/>
          <w:lang w:val="vi-VN"/>
        </w:rPr>
        <w:t xml:space="preserve"> xin báo cáo như sau: </w:t>
      </w:r>
      <w:r w:rsidR="001C479D" w:rsidRPr="000F67D2">
        <w:rPr>
          <w:rFonts w:eastAsia="Times New Roman"/>
          <w:iCs/>
          <w:lang w:val="vi-VN"/>
        </w:rPr>
        <w:t xml:space="preserve">các Nghị quyết hiện hành quy định </w:t>
      </w:r>
      <w:r w:rsidR="001C479D" w:rsidRPr="000F67D2">
        <w:rPr>
          <w:rFonts w:eastAsia="Times New Roman"/>
          <w:lang w:val="vi-VN"/>
        </w:rPr>
        <w:t xml:space="preserve">tỷ lệ xử lý tố giác, tin báo tội phạm, kiến nghị khởi tố của Cơ quan điều tra </w:t>
      </w:r>
      <w:r w:rsidR="001E5EAE" w:rsidRPr="000F67D2">
        <w:rPr>
          <w:rFonts w:eastAsia="Times New Roman"/>
        </w:rPr>
        <w:t>Viện kiểm sát nhân dân</w:t>
      </w:r>
      <w:r w:rsidR="001C479D" w:rsidRPr="000F67D2">
        <w:rPr>
          <w:rFonts w:eastAsia="Times New Roman"/>
          <w:lang w:val="vi-VN"/>
        </w:rPr>
        <w:t xml:space="preserve"> tối cao đạt </w:t>
      </w:r>
      <w:r w:rsidR="001C479D" w:rsidRPr="000F67D2">
        <w:rPr>
          <w:rFonts w:eastAsia="Times New Roman"/>
          <w:b/>
          <w:i/>
          <w:lang w:val="vi-VN"/>
        </w:rPr>
        <w:t>trên 90%</w:t>
      </w:r>
      <w:r w:rsidR="001C479D" w:rsidRPr="000F67D2">
        <w:rPr>
          <w:rFonts w:eastAsia="Times New Roman"/>
          <w:lang w:val="vi-VN"/>
        </w:rPr>
        <w:t>; dự thảo Nghị quyết tiếp tục kế thừa chỉ tiêu nêu trên.</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rFonts w:eastAsia="Times New Roman"/>
          <w:iCs/>
          <w:lang w:val="vi-VN"/>
        </w:rPr>
      </w:pPr>
      <w:r w:rsidRPr="000F67D2">
        <w:rPr>
          <w:rFonts w:eastAsia="Times New Roman"/>
          <w:lang w:val="vi-VN"/>
        </w:rPr>
        <w:t>Quy định này bảo đảm thống nhất với quy định về tỷ lệ xử lý tố giác, tin báo tội phạm, kiến nghị khởi tố của Cơ quan điều tra trong Công an nhân dân và Cơ quan điều tra trong Quân đội nhân dân (</w:t>
      </w:r>
      <w:r w:rsidRPr="000F67D2">
        <w:rPr>
          <w:rFonts w:eastAsia="Times New Roman"/>
          <w:b/>
          <w:i/>
          <w:lang w:val="vi-VN"/>
        </w:rPr>
        <w:t>đều trên 90%</w:t>
      </w:r>
      <w:r w:rsidRPr="000F67D2">
        <w:rPr>
          <w:rFonts w:eastAsia="Times New Roman"/>
          <w:lang w:val="vi-VN"/>
        </w:rPr>
        <w:t xml:space="preserve">). Đặc biệt, theo quy định của Luật, Cơ quan điều tra </w:t>
      </w:r>
      <w:r w:rsidR="001E5EAE" w:rsidRPr="000F67D2">
        <w:rPr>
          <w:rFonts w:eastAsia="Times New Roman"/>
        </w:rPr>
        <w:t>Viện kiểm sát nhân dân</w:t>
      </w:r>
      <w:r w:rsidRPr="000F67D2">
        <w:rPr>
          <w:rFonts w:eastAsia="Times New Roman"/>
          <w:lang w:val="vi-VN"/>
        </w:rPr>
        <w:t xml:space="preserve"> tối cao có chức năng điều tra án tham nhũng trong hoạt động tư pháp của các cơ quan tư pháp</w:t>
      </w:r>
      <w:r w:rsidRPr="000F67D2">
        <w:rPr>
          <w:rFonts w:eastAsia="Times New Roman"/>
        </w:rPr>
        <w:t>;</w:t>
      </w:r>
      <w:r w:rsidRPr="000F67D2">
        <w:rPr>
          <w:rFonts w:eastAsia="Times New Roman"/>
          <w:lang w:val="vi-VN"/>
        </w:rPr>
        <w:t xml:space="preserve"> trong báo cáo thẩm tra hàng năm, Ủy ban </w:t>
      </w:r>
      <w:r w:rsidR="00522A70">
        <w:rPr>
          <w:rFonts w:eastAsia="Times New Roman"/>
        </w:rPr>
        <w:t>T</w:t>
      </w:r>
      <w:r w:rsidRPr="000F67D2">
        <w:rPr>
          <w:rFonts w:eastAsia="Times New Roman"/>
          <w:lang w:val="vi-VN"/>
        </w:rPr>
        <w:t xml:space="preserve">ư pháp đều kiến nghị Cơ quan điều tra </w:t>
      </w:r>
      <w:r w:rsidR="001E5EAE" w:rsidRPr="000F67D2">
        <w:rPr>
          <w:rFonts w:eastAsia="Times New Roman"/>
        </w:rPr>
        <w:t>Viện kiểm sát nhân dân</w:t>
      </w:r>
      <w:r w:rsidRPr="000F67D2">
        <w:rPr>
          <w:rFonts w:eastAsia="Times New Roman"/>
          <w:lang w:val="vi-VN"/>
        </w:rPr>
        <w:t xml:space="preserve"> tối cao nâng cao tỷ lệ phát hiện, điều tra các vụ án tham nhũng trong hoạt động tư pháp nhằm thực hiện tốt yêu cầu của Ban Chỉ đạo </w:t>
      </w:r>
      <w:r w:rsidR="00522A70">
        <w:rPr>
          <w:rFonts w:eastAsia="Times New Roman"/>
        </w:rPr>
        <w:t>T</w:t>
      </w:r>
      <w:r w:rsidRPr="000F67D2">
        <w:rPr>
          <w:rFonts w:eastAsia="Times New Roman"/>
          <w:lang w:val="vi-VN"/>
        </w:rPr>
        <w:t xml:space="preserve">rung ương về phòng, chống tham nhũng về tăng cường chống tham nhũng ngay trong các cơ quan có chức năng chống tham nhũng. Vì vậy, </w:t>
      </w:r>
      <w:r w:rsidR="009615CD" w:rsidRPr="000F67D2">
        <w:rPr>
          <w:bCs/>
          <w:lang w:val="it-IT"/>
        </w:rPr>
        <w:t>UBTVQH</w:t>
      </w:r>
      <w:r w:rsidRPr="000F67D2">
        <w:rPr>
          <w:rFonts w:eastAsia="Times New Roman"/>
          <w:iCs/>
          <w:lang w:val="vi-VN"/>
        </w:rPr>
        <w:t xml:space="preserve">đề nghị </w:t>
      </w:r>
      <w:r w:rsidRPr="000F67D2">
        <w:rPr>
          <w:rFonts w:eastAsia="Times New Roman"/>
          <w:lang w:val="vi-VN"/>
        </w:rPr>
        <w:t xml:space="preserve">kế thừa các Nghị quyết hiện hành, tiếp tục quy định tỷ lệ </w:t>
      </w:r>
      <w:r w:rsidRPr="000F67D2">
        <w:rPr>
          <w:rFonts w:eastAsia="Times New Roman"/>
          <w:iCs/>
          <w:lang w:val="vi-VN"/>
        </w:rPr>
        <w:t xml:space="preserve">nêu trên là </w:t>
      </w:r>
      <w:r w:rsidRPr="000F67D2">
        <w:rPr>
          <w:rFonts w:eastAsia="Times New Roman"/>
          <w:b/>
          <w:i/>
          <w:iCs/>
          <w:lang w:val="vi-VN"/>
        </w:rPr>
        <w:t>trên 90%</w:t>
      </w:r>
      <w:r w:rsidRPr="000F67D2">
        <w:rPr>
          <w:rFonts w:eastAsia="Times New Roman"/>
          <w:lang w:val="vi-VN"/>
        </w:rPr>
        <w:t>.</w:t>
      </w:r>
    </w:p>
    <w:p w:rsidR="001C479D" w:rsidRPr="000F67D2" w:rsidRDefault="001C479D" w:rsidP="008121B6">
      <w:pPr>
        <w:pStyle w:val="ListParagraph"/>
        <w:tabs>
          <w:tab w:val="left" w:pos="810"/>
          <w:tab w:val="left" w:pos="851"/>
        </w:tabs>
        <w:spacing w:before="120" w:after="0" w:line="360" w:lineRule="exact"/>
        <w:ind w:left="0" w:firstLine="561"/>
        <w:contextualSpacing w:val="0"/>
        <w:jc w:val="both"/>
        <w:rPr>
          <w:b/>
          <w:bCs/>
          <w:sz w:val="26"/>
          <w:szCs w:val="26"/>
          <w:lang w:val="vi-VN"/>
        </w:rPr>
      </w:pPr>
      <w:r w:rsidRPr="000F67D2">
        <w:rPr>
          <w:b/>
          <w:bCs/>
          <w:sz w:val="26"/>
          <w:szCs w:val="26"/>
          <w:lang w:val="vi-VN"/>
        </w:rPr>
        <w:t>III. VỀ CÁC CHỈ TIÊU ĐỐI VỚI NGÀNH TÒA ÁN NHÂN DÂN</w:t>
      </w:r>
    </w:p>
    <w:p w:rsidR="001C479D" w:rsidRPr="000F67D2" w:rsidRDefault="001C479D" w:rsidP="008121B6">
      <w:pPr>
        <w:tabs>
          <w:tab w:val="left" w:pos="851"/>
        </w:tabs>
        <w:spacing w:line="360" w:lineRule="exact"/>
        <w:ind w:firstLine="561"/>
        <w:rPr>
          <w:b/>
          <w:lang w:val="vi-VN"/>
        </w:rPr>
      </w:pPr>
      <w:r w:rsidRPr="000F67D2">
        <w:rPr>
          <w:b/>
          <w:lang w:val="vi-VN"/>
        </w:rPr>
        <w:t xml:space="preserve">1. Một số ý kiến đề nghị không bổ sung chỉ tiêu giải quyết án </w:t>
      </w:r>
      <w:r w:rsidRPr="000F67D2">
        <w:rPr>
          <w:b/>
        </w:rPr>
        <w:t>đối với</w:t>
      </w:r>
      <w:r w:rsidRPr="000F67D2">
        <w:rPr>
          <w:b/>
          <w:lang w:val="vi-VN"/>
        </w:rPr>
        <w:t xml:space="preserve"> ngành Tòa án nhân dân, mà để </w:t>
      </w:r>
      <w:r w:rsidR="001E5EAE" w:rsidRPr="000F67D2">
        <w:rPr>
          <w:b/>
          <w:lang w:val="en-US"/>
        </w:rPr>
        <w:t xml:space="preserve">Chánh án </w:t>
      </w:r>
      <w:r w:rsidR="0099064F" w:rsidRPr="000F67D2">
        <w:rPr>
          <w:rFonts w:eastAsia="Times New Roman"/>
          <w:b/>
          <w:lang w:eastAsia="vi-VN"/>
        </w:rPr>
        <w:t>Tòa án nhân dân tối cao</w:t>
      </w:r>
      <w:r w:rsidRPr="000F67D2">
        <w:rPr>
          <w:b/>
          <w:lang w:val="vi-VN"/>
        </w:rPr>
        <w:t xml:space="preserve"> căn cứ vào tình hình thực tế chủ động phân bổ chỉ tiêu cho từng đơn vị thực hiện</w:t>
      </w:r>
    </w:p>
    <w:p w:rsidR="001C479D" w:rsidRPr="000F67D2" w:rsidRDefault="009615CD" w:rsidP="008121B6">
      <w:pPr>
        <w:pStyle w:val="ListParagraph"/>
        <w:tabs>
          <w:tab w:val="left" w:pos="810"/>
          <w:tab w:val="left" w:pos="851"/>
        </w:tabs>
        <w:spacing w:before="120" w:after="0" w:line="360" w:lineRule="exact"/>
        <w:ind w:left="0" w:firstLine="561"/>
        <w:contextualSpacing w:val="0"/>
        <w:jc w:val="both"/>
        <w:rPr>
          <w:rFonts w:eastAsia="Times New Roman"/>
        </w:rPr>
      </w:pPr>
      <w:r w:rsidRPr="000F67D2">
        <w:rPr>
          <w:bCs/>
          <w:lang w:val="it-IT"/>
        </w:rPr>
        <w:t>UBTVQH</w:t>
      </w:r>
      <w:r w:rsidR="001C479D" w:rsidRPr="000F67D2">
        <w:rPr>
          <w:rFonts w:eastAsia="Times New Roman"/>
          <w:lang w:val="vi-VN"/>
        </w:rPr>
        <w:t xml:space="preserve"> xin báo cáo như sau: các Nghị quyết hiện hành chưa quy định </w:t>
      </w:r>
      <w:r w:rsidR="001C479D" w:rsidRPr="000F67D2">
        <w:rPr>
          <w:rFonts w:eastAsia="Times New Roman"/>
        </w:rPr>
        <w:t xml:space="preserve">chỉ tiêu giải quyết án đối với ngành </w:t>
      </w:r>
      <w:r w:rsidR="0099064F" w:rsidRPr="000F67D2">
        <w:rPr>
          <w:rFonts w:eastAsia="Times New Roman"/>
          <w:lang w:eastAsia="vi-VN"/>
        </w:rPr>
        <w:t>Tòa án nhân dân</w:t>
      </w:r>
      <w:r w:rsidR="001C479D" w:rsidRPr="000F67D2">
        <w:rPr>
          <w:rFonts w:eastAsia="Times New Roman"/>
          <w:lang w:val="vi-VN"/>
        </w:rPr>
        <w:t>; dự thảo Nghị quyết</w:t>
      </w:r>
      <w:r w:rsidR="001C479D" w:rsidRPr="000F67D2">
        <w:rPr>
          <w:rFonts w:eastAsia="Times New Roman"/>
        </w:rPr>
        <w:t xml:space="preserve"> đề xuất bổ sung mới chỉ tiêu này đối với ngành </w:t>
      </w:r>
      <w:r w:rsidR="0099064F" w:rsidRPr="000F67D2">
        <w:rPr>
          <w:rFonts w:eastAsia="Times New Roman"/>
          <w:lang w:eastAsia="vi-VN"/>
        </w:rPr>
        <w:t>Tòa án nhân dân</w:t>
      </w:r>
      <w:r w:rsidR="001C479D" w:rsidRPr="000F67D2">
        <w:rPr>
          <w:rFonts w:eastAsia="Times New Roman"/>
        </w:rPr>
        <w:t xml:space="preserve">. </w:t>
      </w:r>
    </w:p>
    <w:p w:rsidR="001C479D" w:rsidRPr="000F67D2" w:rsidRDefault="001C479D" w:rsidP="008121B6">
      <w:pPr>
        <w:tabs>
          <w:tab w:val="left" w:pos="851"/>
        </w:tabs>
        <w:spacing w:line="360" w:lineRule="exact"/>
        <w:ind w:firstLine="561"/>
        <w:rPr>
          <w:bCs/>
        </w:rPr>
      </w:pPr>
      <w:r w:rsidRPr="000F67D2">
        <w:rPr>
          <w:bCs/>
        </w:rPr>
        <w:t xml:space="preserve">Trên thực tế, mặc dù Quốc hội chưa giao chỉ tiêu giải quyết án đối với ngành </w:t>
      </w:r>
      <w:r w:rsidR="0099064F" w:rsidRPr="000F67D2">
        <w:rPr>
          <w:rFonts w:eastAsia="Times New Roman"/>
          <w:lang w:eastAsia="vi-VN"/>
        </w:rPr>
        <w:t>Tòa án nhân dân</w:t>
      </w:r>
      <w:r w:rsidRPr="000F67D2">
        <w:rPr>
          <w:bCs/>
        </w:rPr>
        <w:t xml:space="preserve">, song hàng năm, Chánh án Tòa án nhân dân tối cao đều phân bổ chỉ tiêu cụ thể giải quyết án cho từng đơn vị trong </w:t>
      </w:r>
      <w:r w:rsidR="00522A70">
        <w:rPr>
          <w:bCs/>
        </w:rPr>
        <w:t>n</w:t>
      </w:r>
      <w:r w:rsidRPr="000F67D2">
        <w:rPr>
          <w:bCs/>
        </w:rPr>
        <w:t>gành</w:t>
      </w:r>
      <w:r w:rsidR="00823AA8" w:rsidRPr="000F67D2">
        <w:rPr>
          <w:bCs/>
        </w:rPr>
        <w:t xml:space="preserve"> và báo cáo cụ th</w:t>
      </w:r>
      <w:r w:rsidR="00726B65" w:rsidRPr="000F67D2">
        <w:rPr>
          <w:bCs/>
        </w:rPr>
        <w:t>ể</w:t>
      </w:r>
      <w:r w:rsidR="00823AA8" w:rsidRPr="000F67D2">
        <w:rPr>
          <w:bCs/>
        </w:rPr>
        <w:t xml:space="preserve"> hàng năm trước Quốc hội tại kỳ họp cuối năm</w:t>
      </w:r>
      <w:r w:rsidR="005F26DD" w:rsidRPr="000F67D2">
        <w:rPr>
          <w:bCs/>
        </w:rPr>
        <w:t xml:space="preserve"> của Quốc hội về kết quả giải quyết, xét xử các loại án. Đây là cơ sở quan trọng để đánh giá việc thực hiện nhiệm vụ kết quả công tác của ngành Tòa án</w:t>
      </w:r>
      <w:r w:rsidRPr="000F67D2">
        <w:rPr>
          <w:bCs/>
        </w:rPr>
        <w:t xml:space="preserve">. Trên cơ sở rà soát kết quả giải quyết án hàng năm của ngành </w:t>
      </w:r>
      <w:r w:rsidR="0099064F" w:rsidRPr="000F67D2">
        <w:rPr>
          <w:rFonts w:eastAsia="Times New Roman"/>
          <w:lang w:eastAsia="vi-VN"/>
        </w:rPr>
        <w:t>Tòa án nhân dân</w:t>
      </w:r>
      <w:r w:rsidR="005358D3">
        <w:rPr>
          <w:rStyle w:val="FootnoteReference"/>
          <w:rFonts w:eastAsia="Times New Roman"/>
          <w:lang w:eastAsia="vi-VN"/>
        </w:rPr>
        <w:footnoteReference w:id="5"/>
      </w:r>
      <w:r w:rsidRPr="000F67D2">
        <w:rPr>
          <w:bCs/>
        </w:rPr>
        <w:t xml:space="preserve">, dự thảo Nghị quyết trình xin ý </w:t>
      </w:r>
      <w:r w:rsidRPr="000F67D2">
        <w:rPr>
          <w:bCs/>
        </w:rPr>
        <w:lastRenderedPageBreak/>
        <w:t xml:space="preserve">kiến Quốc hội đề xuất bổ sung chỉ tiêu giải quyết án, cụ thể là: xét xử án hình sự đạt </w:t>
      </w:r>
      <w:r w:rsidRPr="000F67D2">
        <w:rPr>
          <w:b/>
          <w:bCs/>
          <w:i/>
        </w:rPr>
        <w:t>trên 88%</w:t>
      </w:r>
      <w:r w:rsidRPr="000F67D2">
        <w:rPr>
          <w:bCs/>
        </w:rPr>
        <w:t xml:space="preserve">, án dân sự đạt </w:t>
      </w:r>
      <w:r w:rsidRPr="000F67D2">
        <w:rPr>
          <w:b/>
          <w:bCs/>
          <w:i/>
        </w:rPr>
        <w:t>trên78%</w:t>
      </w:r>
      <w:r w:rsidRPr="000F67D2">
        <w:rPr>
          <w:bCs/>
        </w:rPr>
        <w:t xml:space="preserve"> và án hành chính đạt </w:t>
      </w:r>
      <w:r w:rsidRPr="000F67D2">
        <w:rPr>
          <w:b/>
          <w:bCs/>
          <w:i/>
        </w:rPr>
        <w:t>trên60%</w:t>
      </w:r>
      <w:r w:rsidRPr="000F67D2">
        <w:rPr>
          <w:bCs/>
        </w:rPr>
        <w:t xml:space="preserve">. Vì vậy, để </w:t>
      </w:r>
      <w:r w:rsidR="005F26DD" w:rsidRPr="000F67D2">
        <w:rPr>
          <w:bCs/>
        </w:rPr>
        <w:t>có căn cứ đánh giá, giám sát hoạt động xét xử của Tòa án</w:t>
      </w:r>
      <w:r w:rsidRPr="000F67D2">
        <w:rPr>
          <w:bCs/>
        </w:rPr>
        <w:t xml:space="preserve">, </w:t>
      </w:r>
      <w:r w:rsidR="009615CD" w:rsidRPr="000F67D2">
        <w:rPr>
          <w:bCs/>
          <w:lang w:val="it-IT"/>
        </w:rPr>
        <w:t>UBTVQH</w:t>
      </w:r>
      <w:r w:rsidRPr="000F67D2">
        <w:rPr>
          <w:bCs/>
        </w:rPr>
        <w:t xml:space="preserve"> đề </w:t>
      </w:r>
      <w:r w:rsidR="005F26DD" w:rsidRPr="000F67D2">
        <w:rPr>
          <w:bCs/>
        </w:rPr>
        <w:t xml:space="preserve">nghị cho </w:t>
      </w:r>
      <w:r w:rsidRPr="000F67D2">
        <w:rPr>
          <w:bCs/>
        </w:rPr>
        <w:t>giữ như dự thảo Nghị quyết trình Quốc hội.</w:t>
      </w:r>
    </w:p>
    <w:p w:rsidR="001C479D" w:rsidRPr="000F67D2" w:rsidRDefault="001C479D" w:rsidP="008121B6">
      <w:pPr>
        <w:tabs>
          <w:tab w:val="left" w:pos="851"/>
        </w:tabs>
        <w:spacing w:line="360" w:lineRule="exact"/>
        <w:ind w:firstLine="561"/>
        <w:rPr>
          <w:b/>
          <w:bCs/>
        </w:rPr>
      </w:pPr>
      <w:r w:rsidRPr="000F67D2">
        <w:rPr>
          <w:b/>
          <w:bCs/>
        </w:rPr>
        <w:t xml:space="preserve">2. Có ý kiến đề nghị cân nhắc không giao chỉ tiêu giải quyết đơn đề nghị giám đốc thẩm, tái thẩm cho ngành </w:t>
      </w:r>
      <w:r w:rsidR="0099064F" w:rsidRPr="000F67D2">
        <w:rPr>
          <w:rFonts w:eastAsia="Times New Roman"/>
          <w:b/>
          <w:bCs/>
          <w:lang w:eastAsia="vi-VN"/>
        </w:rPr>
        <w:t>Tòa án nhân dân</w:t>
      </w:r>
    </w:p>
    <w:p w:rsidR="001C479D" w:rsidRPr="000F67D2" w:rsidRDefault="00F30FE6" w:rsidP="008121B6">
      <w:pPr>
        <w:pStyle w:val="ListParagraph"/>
        <w:tabs>
          <w:tab w:val="left" w:pos="810"/>
          <w:tab w:val="left" w:pos="851"/>
        </w:tabs>
        <w:spacing w:before="120" w:after="0" w:line="360" w:lineRule="exact"/>
        <w:ind w:left="0" w:firstLine="561"/>
        <w:contextualSpacing w:val="0"/>
        <w:jc w:val="both"/>
        <w:rPr>
          <w:rFonts w:eastAsia="Times New Roman"/>
        </w:rPr>
      </w:pPr>
      <w:r w:rsidRPr="000F67D2">
        <w:rPr>
          <w:bCs/>
          <w:lang w:val="it-IT"/>
        </w:rPr>
        <w:t>UBTVQH</w:t>
      </w:r>
      <w:r w:rsidR="001C479D" w:rsidRPr="000F67D2">
        <w:t>xin báo cáo như sau:</w:t>
      </w:r>
      <w:r w:rsidR="001C479D" w:rsidRPr="000F67D2">
        <w:rPr>
          <w:rFonts w:eastAsia="Times New Roman"/>
          <w:iCs/>
          <w:lang w:val="vi-VN"/>
        </w:rPr>
        <w:t xml:space="preserve">các Nghị quyết hiện hành quy định </w:t>
      </w:r>
      <w:r w:rsidR="001C479D" w:rsidRPr="000F67D2">
        <w:rPr>
          <w:rFonts w:eastAsia="Times New Roman"/>
          <w:lang w:val="vi-VN"/>
        </w:rPr>
        <w:t xml:space="preserve">tỷ lệ </w:t>
      </w:r>
      <w:r w:rsidR="001C479D" w:rsidRPr="000F67D2">
        <w:rPr>
          <w:bCs/>
        </w:rPr>
        <w:t xml:space="preserve">giải quyết đơn đề nghị giám đốc thẩm, tái thẩm của ngành </w:t>
      </w:r>
      <w:r w:rsidR="0099064F" w:rsidRPr="000F67D2">
        <w:rPr>
          <w:rFonts w:eastAsia="Times New Roman"/>
          <w:lang w:eastAsia="vi-VN"/>
        </w:rPr>
        <w:t>Tòa án nhân dân</w:t>
      </w:r>
      <w:r w:rsidR="001C479D" w:rsidRPr="000F67D2">
        <w:rPr>
          <w:rFonts w:eastAsia="Times New Roman"/>
        </w:rPr>
        <w:t xml:space="preserve">đạt </w:t>
      </w:r>
      <w:r w:rsidR="001C479D" w:rsidRPr="000F67D2">
        <w:rPr>
          <w:rFonts w:eastAsia="Times New Roman"/>
          <w:b/>
          <w:i/>
        </w:rPr>
        <w:t>trên 60%</w:t>
      </w:r>
      <w:r w:rsidR="001C479D" w:rsidRPr="000F67D2">
        <w:rPr>
          <w:rFonts w:eastAsia="Times New Roman"/>
        </w:rPr>
        <w:t xml:space="preserve">; </w:t>
      </w:r>
      <w:r w:rsidR="001C479D" w:rsidRPr="000F67D2">
        <w:rPr>
          <w:rFonts w:eastAsia="Times New Roman"/>
          <w:lang w:val="vi-VN"/>
        </w:rPr>
        <w:t xml:space="preserve">dự thảo Nghị quyết tiếp tục kế thừa chỉ tiêu </w:t>
      </w:r>
      <w:r w:rsidR="001E5EAE" w:rsidRPr="000F67D2">
        <w:rPr>
          <w:rFonts w:eastAsia="Times New Roman"/>
        </w:rPr>
        <w:t>này</w:t>
      </w:r>
      <w:r w:rsidR="001C479D" w:rsidRPr="000F67D2">
        <w:rPr>
          <w:rFonts w:eastAsia="Times New Roman"/>
          <w:lang w:val="vi-VN"/>
        </w:rPr>
        <w:t>.</w:t>
      </w:r>
    </w:p>
    <w:p w:rsidR="001C479D" w:rsidRPr="000F67D2" w:rsidRDefault="001C479D" w:rsidP="008121B6">
      <w:pPr>
        <w:tabs>
          <w:tab w:val="left" w:pos="851"/>
        </w:tabs>
        <w:spacing w:line="360" w:lineRule="exact"/>
        <w:ind w:firstLine="561"/>
        <w:rPr>
          <w:i/>
          <w:lang w:val="vi-VN" w:eastAsia="en-GB"/>
        </w:rPr>
      </w:pPr>
      <w:r w:rsidRPr="000F67D2">
        <w:t xml:space="preserve">Thực hiện Nghị quyết của Quốc hội, </w:t>
      </w:r>
      <w:r w:rsidR="001E5EAE" w:rsidRPr="000F67D2">
        <w:t xml:space="preserve">trong những năm qua, </w:t>
      </w:r>
      <w:r w:rsidR="0099064F" w:rsidRPr="000F67D2">
        <w:rPr>
          <w:rFonts w:eastAsia="Times New Roman"/>
          <w:lang w:eastAsia="vi-VN"/>
        </w:rPr>
        <w:t>Tòa án nhân dân</w:t>
      </w:r>
      <w:r w:rsidR="0099064F" w:rsidRPr="000F67D2">
        <w:t xml:space="preserve"> tối cao </w:t>
      </w:r>
      <w:r w:rsidRPr="000F67D2">
        <w:t xml:space="preserve">đã tích cực triển khai nhiều giải pháp, trên cơ sở đó tỷ lệ giải quyết đơn đề nghị giám đốc thẩm, tái thẩm được nâng cao qua các năm (năm 2017: </w:t>
      </w:r>
      <w:r w:rsidRPr="005358D3">
        <w:rPr>
          <w:b/>
          <w:bCs/>
        </w:rPr>
        <w:t>39,3%</w:t>
      </w:r>
      <w:r w:rsidRPr="000F67D2">
        <w:t xml:space="preserve">, năm 2018: </w:t>
      </w:r>
      <w:r w:rsidRPr="005358D3">
        <w:rPr>
          <w:b/>
          <w:bCs/>
        </w:rPr>
        <w:t>39,8%</w:t>
      </w:r>
      <w:r w:rsidRPr="000F67D2">
        <w:t xml:space="preserve">, năm 2019: </w:t>
      </w:r>
      <w:r w:rsidRPr="005358D3">
        <w:rPr>
          <w:b/>
          <w:bCs/>
        </w:rPr>
        <w:t>51%</w:t>
      </w:r>
      <w:r w:rsidRPr="000F67D2">
        <w:t xml:space="preserve">). Trước yêu cầu của cải cách tư pháp, bảo đảm ngày càng tốt hơn quyền và lợi ích hợp pháp của cá nhân, cơ quan, tổ chức, việc </w:t>
      </w:r>
      <w:r w:rsidRPr="000F67D2">
        <w:rPr>
          <w:lang w:val="vi-VN" w:eastAsia="en-GB"/>
        </w:rPr>
        <w:t xml:space="preserve">dự thảo Nghị quyết tiếp tục kế thừa </w:t>
      </w:r>
      <w:r w:rsidRPr="000F67D2">
        <w:rPr>
          <w:lang w:eastAsia="en-GB"/>
        </w:rPr>
        <w:t>chỉ tiêu</w:t>
      </w:r>
      <w:r w:rsidRPr="000F67D2">
        <w:rPr>
          <w:lang w:val="vi-VN" w:eastAsia="en-GB"/>
        </w:rPr>
        <w:t xml:space="preserve"> nêu trên của các Nghị quyết hiện hành</w:t>
      </w:r>
      <w:r w:rsidRPr="000F67D2">
        <w:rPr>
          <w:lang w:eastAsia="en-GB"/>
        </w:rPr>
        <w:t xml:space="preserve"> là phù hợp</w:t>
      </w:r>
      <w:r w:rsidRPr="000F67D2">
        <w:rPr>
          <w:lang w:val="vi-VN" w:eastAsia="en-GB"/>
        </w:rPr>
        <w:t xml:space="preserve">. Do đó, đề nghị Quốc hội cho giữ </w:t>
      </w:r>
      <w:r w:rsidR="00A0032C">
        <w:rPr>
          <w:lang w:val="en-US" w:eastAsia="en-GB"/>
        </w:rPr>
        <w:t xml:space="preserve">chỉ tiêu này </w:t>
      </w:r>
      <w:r w:rsidRPr="000F67D2">
        <w:rPr>
          <w:lang w:val="vi-VN" w:eastAsia="en-GB"/>
        </w:rPr>
        <w:t>như quy định của dự thảo Nghị quyết.</w:t>
      </w:r>
    </w:p>
    <w:p w:rsidR="00B7119D" w:rsidRPr="000F67D2" w:rsidRDefault="008B55B3" w:rsidP="008121B6">
      <w:pPr>
        <w:tabs>
          <w:tab w:val="left" w:pos="900"/>
        </w:tabs>
        <w:spacing w:line="360" w:lineRule="exact"/>
        <w:ind w:right="45" w:firstLine="561"/>
      </w:pPr>
      <w:r w:rsidRPr="000F67D2">
        <w:t xml:space="preserve">Ngoài các nội dung đã được giải trình, tiếp thu chỉnh lý trên đây, các ý kiến khác của </w:t>
      </w:r>
      <w:r w:rsidR="001E5EAE" w:rsidRPr="000F67D2">
        <w:t>đại biểu Quốc hội</w:t>
      </w:r>
      <w:r w:rsidRPr="000F67D2">
        <w:t xml:space="preserve"> đã được nghiên cứu kỹ lưỡng, tiếp thu tối đa trong quá trình chỉnh lý dự thảo Nghị quyết</w:t>
      </w:r>
      <w:r w:rsidR="00B7119D" w:rsidRPr="000F67D2">
        <w:t xml:space="preserve">. Đồng thời, </w:t>
      </w:r>
      <w:r w:rsidR="00F30FE6" w:rsidRPr="000F67D2">
        <w:rPr>
          <w:bCs/>
          <w:lang w:val="it-IT"/>
        </w:rPr>
        <w:t>UBTVQH</w:t>
      </w:r>
      <w:r w:rsidR="00F30FE6" w:rsidRPr="000F67D2">
        <w:t xml:space="preserve"> đã chỉ đạo </w:t>
      </w:r>
      <w:r w:rsidR="00B7119D" w:rsidRPr="000F67D2">
        <w:t>Ủy ban Tư pháp tiếp tục phối hợp với các cơ quan liên quan rà soát,</w:t>
      </w:r>
      <w:r w:rsidRPr="000F67D2">
        <w:t xml:space="preserve"> chỉnh lý kỹ thuật văn bản, bảo đảm phù hợp với các văn bản pháp luật có liên quan. </w:t>
      </w:r>
      <w:r w:rsidR="00B7119D" w:rsidRPr="000F67D2">
        <w:t>Dự thảo Nghị quyết trình Quốc hội xem xét, thông qua có 0</w:t>
      </w:r>
      <w:r w:rsidR="00370DEB" w:rsidRPr="000F67D2">
        <w:t>4</w:t>
      </w:r>
      <w:r w:rsidR="00B7119D" w:rsidRPr="000F67D2">
        <w:t xml:space="preserve"> điều.</w:t>
      </w:r>
    </w:p>
    <w:p w:rsidR="009615CD" w:rsidRPr="000F67D2" w:rsidRDefault="009615CD" w:rsidP="008121B6">
      <w:pPr>
        <w:pStyle w:val="n-chuongten"/>
        <w:autoSpaceDE/>
        <w:autoSpaceDN/>
        <w:spacing w:before="120" w:after="0" w:line="360" w:lineRule="exact"/>
        <w:ind w:firstLine="562"/>
        <w:jc w:val="both"/>
        <w:rPr>
          <w:rFonts w:ascii="Times New Roman" w:hAnsi="Times New Roman"/>
          <w:b w:val="0"/>
          <w:spacing w:val="0"/>
          <w:sz w:val="28"/>
          <w:szCs w:val="28"/>
          <w:lang w:val="it-IT"/>
        </w:rPr>
      </w:pPr>
      <w:r w:rsidRPr="000F67D2">
        <w:rPr>
          <w:rFonts w:ascii="Times New Roman" w:hAnsi="Times New Roman"/>
          <w:b w:val="0"/>
          <w:spacing w:val="0"/>
          <w:sz w:val="28"/>
          <w:szCs w:val="28"/>
          <w:lang w:val="it-IT"/>
        </w:rPr>
        <w:t xml:space="preserve">Trên đây là Báo cáo giải trình, tiếp thu ý kiến đại biểu Quốc hội </w:t>
      </w:r>
      <w:r w:rsidR="00F2104B">
        <w:rPr>
          <w:rFonts w:ascii="Times New Roman" w:hAnsi="Times New Roman"/>
          <w:b w:val="0"/>
          <w:spacing w:val="0"/>
          <w:sz w:val="28"/>
          <w:szCs w:val="28"/>
          <w:lang w:val="it-IT"/>
        </w:rPr>
        <w:t xml:space="preserve">về </w:t>
      </w:r>
      <w:r w:rsidRPr="000F67D2">
        <w:rPr>
          <w:rFonts w:ascii="Times New Roman" w:hAnsi="Times New Roman"/>
          <w:b w:val="0"/>
          <w:spacing w:val="0"/>
          <w:sz w:val="28"/>
          <w:szCs w:val="28"/>
          <w:lang w:val="it-IT"/>
        </w:rPr>
        <w:t xml:space="preserve">dự thảo Nghị quyết về </w:t>
      </w:r>
      <w:r w:rsidRPr="000F67D2">
        <w:rPr>
          <w:rFonts w:ascii="Times New Roman" w:hAnsi="Times New Roman"/>
          <w:b w:val="0"/>
          <w:sz w:val="28"/>
          <w:szCs w:val="28"/>
        </w:rPr>
        <w:t>công tác phòng, chống tội phạm và vi phạm pháp luật, công tác của Viện kiểm sát nhân dân, của Tòa án nhân dân và công tác thi hành án</w:t>
      </w:r>
      <w:r w:rsidRPr="000F67D2">
        <w:rPr>
          <w:rFonts w:ascii="Times New Roman" w:hAnsi="Times New Roman"/>
          <w:b w:val="0"/>
          <w:spacing w:val="0"/>
          <w:sz w:val="28"/>
          <w:szCs w:val="28"/>
          <w:lang w:val="it-IT"/>
        </w:rPr>
        <w:t xml:space="preserve">, Ủy ban Thường vụ Quốc hội xin kính trình Quốc hội xem xét, thông qua dự thảo </w:t>
      </w:r>
      <w:r w:rsidRPr="000F67D2">
        <w:rPr>
          <w:rFonts w:ascii="Times New Roman" w:hAnsi="Times New Roman"/>
          <w:b w:val="0"/>
          <w:iCs/>
          <w:spacing w:val="0"/>
          <w:sz w:val="28"/>
          <w:szCs w:val="28"/>
          <w:lang w:val="it-IT"/>
        </w:rPr>
        <w:t>Nghị quyết</w:t>
      </w:r>
      <w:r w:rsidRPr="000F67D2">
        <w:rPr>
          <w:rFonts w:ascii="Times New Roman" w:hAnsi="Times New Roman"/>
          <w:b w:val="0"/>
          <w:spacing w:val="0"/>
          <w:sz w:val="28"/>
          <w:szCs w:val="28"/>
          <w:lang w:val="it-IT"/>
        </w:rPr>
        <w:t xml:space="preserve"> đã được tiếp thu, chỉnh lý./.</w:t>
      </w:r>
    </w:p>
    <w:p w:rsidR="00410F05" w:rsidRPr="000F67D2" w:rsidRDefault="00410F05" w:rsidP="00410F05">
      <w:pPr>
        <w:pStyle w:val="n-chuongten"/>
        <w:autoSpaceDE/>
        <w:autoSpaceDN/>
        <w:spacing w:before="120" w:after="0"/>
        <w:ind w:firstLine="562"/>
        <w:jc w:val="both"/>
        <w:rPr>
          <w:rFonts w:ascii="Times New Roman" w:hAnsi="Times New Roman"/>
          <w:b w:val="0"/>
          <w:spacing w:val="0"/>
          <w:sz w:val="16"/>
          <w:szCs w:val="16"/>
          <w:lang w:val="it-IT"/>
        </w:rPr>
      </w:pPr>
    </w:p>
    <w:tbl>
      <w:tblPr>
        <w:tblW w:w="0" w:type="auto"/>
        <w:tblLook w:val="01E0"/>
      </w:tblPr>
      <w:tblGrid>
        <w:gridCol w:w="3751"/>
        <w:gridCol w:w="5555"/>
      </w:tblGrid>
      <w:tr w:rsidR="000F67D2" w:rsidRPr="000F67D2" w:rsidTr="00A42239">
        <w:tc>
          <w:tcPr>
            <w:tcW w:w="3857" w:type="dxa"/>
          </w:tcPr>
          <w:p w:rsidR="009615CD" w:rsidRPr="000F67D2" w:rsidRDefault="009615CD" w:rsidP="009615CD">
            <w:pPr>
              <w:spacing w:before="0"/>
              <w:rPr>
                <w:b/>
                <w:i/>
                <w:sz w:val="24"/>
                <w:lang w:val="it-IT"/>
              </w:rPr>
            </w:pPr>
          </w:p>
          <w:p w:rsidR="009615CD" w:rsidRPr="000F67D2" w:rsidRDefault="009615CD" w:rsidP="009615CD">
            <w:pPr>
              <w:spacing w:before="0"/>
              <w:rPr>
                <w:b/>
                <w:sz w:val="24"/>
                <w:lang w:val="it-IT"/>
              </w:rPr>
            </w:pPr>
            <w:r w:rsidRPr="000F67D2">
              <w:rPr>
                <w:b/>
                <w:i/>
                <w:sz w:val="24"/>
                <w:lang w:val="it-IT"/>
              </w:rPr>
              <w:t>Nơi nhận</w:t>
            </w:r>
            <w:r w:rsidRPr="000F67D2">
              <w:rPr>
                <w:b/>
                <w:sz w:val="24"/>
                <w:lang w:val="it-IT"/>
              </w:rPr>
              <w:t>:</w:t>
            </w:r>
          </w:p>
          <w:p w:rsidR="009615CD" w:rsidRPr="000F67D2" w:rsidRDefault="009615CD" w:rsidP="009615CD">
            <w:pPr>
              <w:spacing w:before="0"/>
              <w:rPr>
                <w:sz w:val="22"/>
                <w:szCs w:val="22"/>
                <w:lang w:val="it-IT"/>
              </w:rPr>
            </w:pPr>
            <w:r w:rsidRPr="000F67D2">
              <w:rPr>
                <w:sz w:val="22"/>
                <w:lang w:val="it-IT"/>
              </w:rPr>
              <w:t xml:space="preserve">- </w:t>
            </w:r>
            <w:r w:rsidRPr="000F67D2">
              <w:rPr>
                <w:sz w:val="22"/>
                <w:szCs w:val="22"/>
                <w:lang w:val="it-IT"/>
              </w:rPr>
              <w:t xml:space="preserve">Các ĐBQH; </w:t>
            </w:r>
          </w:p>
          <w:p w:rsidR="009615CD" w:rsidRPr="000F67D2" w:rsidRDefault="009615CD" w:rsidP="009615CD">
            <w:pPr>
              <w:spacing w:before="0"/>
              <w:rPr>
                <w:sz w:val="22"/>
                <w:szCs w:val="22"/>
                <w:lang w:val="it-IT"/>
              </w:rPr>
            </w:pPr>
            <w:r w:rsidRPr="000F67D2">
              <w:rPr>
                <w:sz w:val="22"/>
                <w:szCs w:val="22"/>
                <w:lang w:val="it-IT"/>
              </w:rPr>
              <w:t>- Lưu: HC, TP;</w:t>
            </w:r>
          </w:p>
          <w:p w:rsidR="009615CD" w:rsidRPr="000F67D2" w:rsidRDefault="009615CD" w:rsidP="009615CD">
            <w:pPr>
              <w:spacing w:before="0"/>
              <w:rPr>
                <w:sz w:val="18"/>
                <w:szCs w:val="22"/>
                <w:lang w:val="it-IT"/>
              </w:rPr>
            </w:pPr>
            <w:r w:rsidRPr="000F67D2">
              <w:rPr>
                <w:sz w:val="22"/>
                <w:szCs w:val="22"/>
                <w:lang w:val="it-IT"/>
              </w:rPr>
              <w:t xml:space="preserve">- E-pas: </w:t>
            </w:r>
            <w:r w:rsidR="00405ADB">
              <w:rPr>
                <w:sz w:val="22"/>
                <w:szCs w:val="22"/>
                <w:lang w:val="it-IT"/>
              </w:rPr>
              <w:t>98112</w:t>
            </w:r>
          </w:p>
          <w:p w:rsidR="009615CD" w:rsidRPr="000F67D2" w:rsidRDefault="009615CD" w:rsidP="009615CD">
            <w:pPr>
              <w:spacing w:before="0"/>
              <w:jc w:val="center"/>
              <w:rPr>
                <w:lang w:val="it-IT"/>
              </w:rPr>
            </w:pPr>
          </w:p>
        </w:tc>
        <w:tc>
          <w:tcPr>
            <w:tcW w:w="5714" w:type="dxa"/>
          </w:tcPr>
          <w:p w:rsidR="009615CD" w:rsidRPr="000F67D2" w:rsidRDefault="009615CD" w:rsidP="009615CD">
            <w:pPr>
              <w:spacing w:before="0"/>
              <w:ind w:firstLine="562"/>
              <w:jc w:val="center"/>
              <w:rPr>
                <w:b/>
                <w:sz w:val="24"/>
                <w:szCs w:val="24"/>
                <w:lang w:val="it-IT"/>
              </w:rPr>
            </w:pPr>
            <w:r w:rsidRPr="000F67D2">
              <w:rPr>
                <w:b/>
                <w:sz w:val="24"/>
                <w:szCs w:val="24"/>
                <w:lang w:val="it-IT"/>
              </w:rPr>
              <w:t>TM. UỶ BAN THƯỜNG VỤ QUỐC HỘI</w:t>
            </w:r>
          </w:p>
          <w:p w:rsidR="009615CD" w:rsidRPr="000F67D2" w:rsidRDefault="009615CD" w:rsidP="009615CD">
            <w:pPr>
              <w:spacing w:before="0"/>
              <w:ind w:firstLine="562"/>
              <w:jc w:val="center"/>
              <w:rPr>
                <w:b/>
                <w:sz w:val="24"/>
                <w:szCs w:val="24"/>
                <w:lang w:val="it-IT"/>
              </w:rPr>
            </w:pPr>
            <w:r w:rsidRPr="000F67D2">
              <w:rPr>
                <w:b/>
                <w:sz w:val="24"/>
                <w:szCs w:val="24"/>
                <w:lang w:val="it-IT"/>
              </w:rPr>
              <w:t>KT. CHỦ TỊCH</w:t>
            </w:r>
          </w:p>
          <w:p w:rsidR="009615CD" w:rsidRPr="000F67D2" w:rsidRDefault="009615CD" w:rsidP="009615CD">
            <w:pPr>
              <w:spacing w:before="0"/>
              <w:ind w:firstLine="562"/>
              <w:jc w:val="center"/>
              <w:rPr>
                <w:b/>
                <w:sz w:val="24"/>
                <w:szCs w:val="24"/>
                <w:lang w:val="it-IT"/>
              </w:rPr>
            </w:pPr>
            <w:r w:rsidRPr="000F67D2">
              <w:rPr>
                <w:b/>
                <w:sz w:val="24"/>
                <w:szCs w:val="24"/>
                <w:lang w:val="it-IT"/>
              </w:rPr>
              <w:t>PHÓ CHỦ TỊCH</w:t>
            </w:r>
          </w:p>
          <w:p w:rsidR="009615CD" w:rsidRPr="000F67D2" w:rsidRDefault="009615CD" w:rsidP="009615CD">
            <w:pPr>
              <w:spacing w:before="0"/>
              <w:jc w:val="center"/>
              <w:rPr>
                <w:lang w:val="it-IT"/>
              </w:rPr>
            </w:pPr>
          </w:p>
          <w:p w:rsidR="009615CD" w:rsidRDefault="00044063" w:rsidP="001B0708">
            <w:pPr>
              <w:spacing w:before="0"/>
              <w:jc w:val="center"/>
              <w:rPr>
                <w:lang w:val="it-IT"/>
              </w:rPr>
            </w:pPr>
            <w:r>
              <w:rPr>
                <w:lang w:val="it-IT"/>
              </w:rPr>
              <w:t>(Đã ký</w:t>
            </w:r>
            <w:bookmarkStart w:id="0" w:name="_GoBack"/>
            <w:bookmarkEnd w:id="0"/>
            <w:r>
              <w:rPr>
                <w:lang w:val="it-IT"/>
              </w:rPr>
              <w:t>)</w:t>
            </w:r>
          </w:p>
          <w:p w:rsidR="000F67D2" w:rsidRDefault="000F67D2" w:rsidP="009615CD">
            <w:pPr>
              <w:spacing w:before="0"/>
              <w:jc w:val="center"/>
              <w:rPr>
                <w:lang w:val="it-IT"/>
              </w:rPr>
            </w:pPr>
          </w:p>
          <w:p w:rsidR="00A0032C" w:rsidRDefault="00A0032C" w:rsidP="009615CD">
            <w:pPr>
              <w:spacing w:before="0"/>
              <w:jc w:val="center"/>
              <w:rPr>
                <w:lang w:val="it-IT"/>
              </w:rPr>
            </w:pPr>
          </w:p>
          <w:p w:rsidR="000F67D2" w:rsidRDefault="000F67D2" w:rsidP="009615CD">
            <w:pPr>
              <w:spacing w:before="0"/>
              <w:jc w:val="center"/>
              <w:rPr>
                <w:lang w:val="it-IT"/>
              </w:rPr>
            </w:pPr>
          </w:p>
          <w:p w:rsidR="009615CD" w:rsidRPr="000F67D2" w:rsidRDefault="009615CD" w:rsidP="009615CD">
            <w:pPr>
              <w:spacing w:before="0"/>
              <w:jc w:val="center"/>
              <w:rPr>
                <w:lang w:val="it-IT"/>
              </w:rPr>
            </w:pPr>
          </w:p>
          <w:p w:rsidR="009615CD" w:rsidRPr="000F67D2" w:rsidRDefault="009615CD" w:rsidP="009615CD">
            <w:pPr>
              <w:spacing w:before="0"/>
              <w:jc w:val="center"/>
              <w:rPr>
                <w:b/>
                <w:bCs/>
                <w:lang w:val="it-IT"/>
              </w:rPr>
            </w:pPr>
            <w:r w:rsidRPr="000F67D2">
              <w:rPr>
                <w:b/>
                <w:bCs/>
                <w:lang w:val="it-IT"/>
              </w:rPr>
              <w:t>Uông Chu Lưu</w:t>
            </w:r>
          </w:p>
        </w:tc>
      </w:tr>
    </w:tbl>
    <w:p w:rsidR="00D66E64" w:rsidRPr="000F67D2" w:rsidRDefault="00D66E64" w:rsidP="008121B6">
      <w:pPr>
        <w:tabs>
          <w:tab w:val="left" w:pos="900"/>
        </w:tabs>
        <w:ind w:firstLine="0"/>
        <w:rPr>
          <w:lang w:val="en-US"/>
        </w:rPr>
      </w:pPr>
    </w:p>
    <w:sectPr w:rsidR="00D66E64" w:rsidRPr="000F67D2" w:rsidSect="005358D3">
      <w:headerReference w:type="default" r:id="rId8"/>
      <w:pgSz w:w="11907" w:h="16840" w:code="9"/>
      <w:pgMar w:top="900" w:right="1197" w:bottom="180" w:left="1620" w:header="720" w:footer="53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74B" w:rsidRDefault="00FE474B" w:rsidP="0086697C">
      <w:pPr>
        <w:spacing w:before="0"/>
      </w:pPr>
      <w:r>
        <w:separator/>
      </w:r>
    </w:p>
  </w:endnote>
  <w:endnote w:type="continuationSeparator" w:id="1">
    <w:p w:rsidR="00FE474B" w:rsidRDefault="00FE474B" w:rsidP="0086697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74B" w:rsidRDefault="00FE474B" w:rsidP="0086697C">
      <w:pPr>
        <w:spacing w:before="0"/>
      </w:pPr>
      <w:r>
        <w:separator/>
      </w:r>
    </w:p>
  </w:footnote>
  <w:footnote w:type="continuationSeparator" w:id="1">
    <w:p w:rsidR="00FE474B" w:rsidRDefault="00FE474B" w:rsidP="0086697C">
      <w:pPr>
        <w:spacing w:before="0"/>
      </w:pPr>
      <w:r>
        <w:continuationSeparator/>
      </w:r>
    </w:p>
  </w:footnote>
  <w:footnote w:id="2">
    <w:p w:rsidR="00D20E56" w:rsidRPr="005358D3" w:rsidRDefault="00D20E56" w:rsidP="008121B6">
      <w:pPr>
        <w:pStyle w:val="FootnoteText"/>
        <w:ind w:firstLine="180"/>
        <w:rPr>
          <w:b w:val="0"/>
          <w:color w:val="auto"/>
          <w:lang w:val="en-US"/>
        </w:rPr>
      </w:pPr>
      <w:r w:rsidRPr="005358D3">
        <w:rPr>
          <w:rStyle w:val="FootnoteReference"/>
          <w:b w:val="0"/>
          <w:color w:val="auto"/>
        </w:rPr>
        <w:footnoteRef/>
      </w:r>
      <w:r w:rsidRPr="005358D3">
        <w:rPr>
          <w:b w:val="0"/>
          <w:color w:val="auto"/>
          <w:lang w:val="en-US"/>
        </w:rPr>
        <w:t>Gọi chung là Nghị quyết về công tác tư pháp</w:t>
      </w:r>
    </w:p>
  </w:footnote>
  <w:footnote w:id="3">
    <w:p w:rsidR="001C479D" w:rsidRPr="005358D3" w:rsidRDefault="001C479D" w:rsidP="008121B6">
      <w:pPr>
        <w:spacing w:before="0"/>
        <w:ind w:firstLine="180"/>
        <w:rPr>
          <w:sz w:val="20"/>
          <w:szCs w:val="20"/>
        </w:rPr>
      </w:pPr>
      <w:r w:rsidRPr="005358D3">
        <w:rPr>
          <w:rStyle w:val="FootnoteReference"/>
          <w:sz w:val="20"/>
          <w:szCs w:val="20"/>
        </w:rPr>
        <w:footnoteRef/>
      </w:r>
      <w:r w:rsidR="002C395B" w:rsidRPr="005358D3">
        <w:rPr>
          <w:sz w:val="20"/>
          <w:szCs w:val="20"/>
        </w:rPr>
        <w:t>Nghị quyết số 37/2012/QH13; Nghị quyết số 52/2013/QH13; Nghị quyết số 63/2013/QH13; Nghị quyết số 69/2013/QH13; Nghị quyết số 75/2014/QH13; Nghị quyết số 77/2014/QH13; Nghị quyết số 96/2015/QH13; và Nghị quyết số 111/2015/QH13</w:t>
      </w:r>
      <w:r w:rsidR="00C641C3" w:rsidRPr="005358D3">
        <w:rPr>
          <w:sz w:val="20"/>
          <w:szCs w:val="20"/>
        </w:rPr>
        <w:t>; Nghị quyết số 55/2017/QH13</w:t>
      </w:r>
      <w:r w:rsidR="00522A70">
        <w:rPr>
          <w:sz w:val="20"/>
          <w:szCs w:val="20"/>
        </w:rPr>
        <w:t xml:space="preserve"> và</w:t>
      </w:r>
      <w:r w:rsidR="00C641C3" w:rsidRPr="005358D3">
        <w:rPr>
          <w:sz w:val="20"/>
          <w:szCs w:val="20"/>
        </w:rPr>
        <w:t xml:space="preserve"> Nghị quyết số 69/2018/QH14.</w:t>
      </w:r>
    </w:p>
    <w:p w:rsidR="001C479D" w:rsidRPr="005358D3" w:rsidRDefault="001C479D" w:rsidP="008121B6">
      <w:pPr>
        <w:pStyle w:val="FootnoteText"/>
        <w:ind w:firstLine="180"/>
        <w:rPr>
          <w:color w:val="auto"/>
          <w:lang w:val="en-US"/>
        </w:rPr>
      </w:pPr>
    </w:p>
  </w:footnote>
  <w:footnote w:id="4">
    <w:p w:rsidR="001C479D" w:rsidRPr="005358D3" w:rsidRDefault="001C479D" w:rsidP="008121B6">
      <w:pPr>
        <w:pStyle w:val="FootnoteText"/>
        <w:ind w:firstLine="180"/>
      </w:pPr>
      <w:r w:rsidRPr="005358D3">
        <w:rPr>
          <w:rStyle w:val="FootnoteReference"/>
        </w:rPr>
        <w:footnoteRef/>
      </w:r>
      <w:r w:rsidRPr="005358D3">
        <w:rPr>
          <w:b w:val="0"/>
        </w:rPr>
        <w:t xml:space="preserve">Năm 2017: tỷ lệ kháng nghị giám đốc thẩm, tái thẩm án dân sự: </w:t>
      </w:r>
      <w:r w:rsidRPr="00522A70">
        <w:rPr>
          <w:bCs w:val="0"/>
        </w:rPr>
        <w:t>79,2</w:t>
      </w:r>
      <w:r w:rsidRPr="005358D3">
        <w:rPr>
          <w:b w:val="0"/>
        </w:rPr>
        <w:t xml:space="preserve">%, án hành chính: </w:t>
      </w:r>
      <w:r w:rsidRPr="00522A70">
        <w:rPr>
          <w:bCs w:val="0"/>
        </w:rPr>
        <w:t>87,5</w:t>
      </w:r>
      <w:r w:rsidRPr="005358D3">
        <w:rPr>
          <w:b w:val="0"/>
        </w:rPr>
        <w:t xml:space="preserve">%, án hình sự </w:t>
      </w:r>
      <w:r w:rsidRPr="00522A70">
        <w:rPr>
          <w:bCs w:val="0"/>
        </w:rPr>
        <w:t>95,9</w:t>
      </w:r>
      <w:r w:rsidRPr="005358D3">
        <w:rPr>
          <w:b w:val="0"/>
        </w:rPr>
        <w:t xml:space="preserve">%, trung bình </w:t>
      </w:r>
      <w:r w:rsidRPr="005358D3">
        <w:rPr>
          <w:bCs w:val="0"/>
          <w:lang w:eastAsia="en-GB"/>
        </w:rPr>
        <w:t>87,5%.</w:t>
      </w:r>
    </w:p>
    <w:p w:rsidR="001C479D" w:rsidRPr="005358D3" w:rsidRDefault="001C479D" w:rsidP="008121B6">
      <w:pPr>
        <w:pStyle w:val="FootnoteText"/>
        <w:ind w:firstLine="180"/>
        <w:rPr>
          <w:b w:val="0"/>
        </w:rPr>
      </w:pPr>
      <w:r w:rsidRPr="005358D3">
        <w:rPr>
          <w:b w:val="0"/>
        </w:rPr>
        <w:t xml:space="preserve">Năm 2018: tỷ lệ kháng nghị giám đốc thẩm, tái thẩm án dân sự: </w:t>
      </w:r>
      <w:r w:rsidRPr="005358D3">
        <w:rPr>
          <w:bCs w:val="0"/>
        </w:rPr>
        <w:t>83,1</w:t>
      </w:r>
      <w:r w:rsidRPr="005358D3">
        <w:rPr>
          <w:b w:val="0"/>
        </w:rPr>
        <w:t xml:space="preserve">%, án hành chính: </w:t>
      </w:r>
      <w:r w:rsidRPr="005358D3">
        <w:rPr>
          <w:bCs w:val="0"/>
        </w:rPr>
        <w:t>69,8</w:t>
      </w:r>
      <w:r w:rsidRPr="005358D3">
        <w:rPr>
          <w:b w:val="0"/>
        </w:rPr>
        <w:t xml:space="preserve">%, án hình sự </w:t>
      </w:r>
      <w:r w:rsidRPr="005358D3">
        <w:rPr>
          <w:bCs w:val="0"/>
        </w:rPr>
        <w:t>76,5</w:t>
      </w:r>
      <w:r w:rsidRPr="005358D3">
        <w:rPr>
          <w:b w:val="0"/>
        </w:rPr>
        <w:t xml:space="preserve">%, trung bình: </w:t>
      </w:r>
      <w:r w:rsidRPr="005358D3">
        <w:t>76,5%.</w:t>
      </w:r>
    </w:p>
    <w:p w:rsidR="001C479D" w:rsidRPr="005358D3" w:rsidRDefault="001C479D" w:rsidP="008121B6">
      <w:pPr>
        <w:pStyle w:val="FootnoteText"/>
        <w:ind w:firstLine="180"/>
        <w:rPr>
          <w:b w:val="0"/>
        </w:rPr>
      </w:pPr>
      <w:r w:rsidRPr="005358D3">
        <w:rPr>
          <w:b w:val="0"/>
        </w:rPr>
        <w:t xml:space="preserve">Năm 2019: tỷ lệ kháng nghị giám đốc thẩm, tái thẩm án dân sự: </w:t>
      </w:r>
      <w:r w:rsidRPr="005358D3">
        <w:rPr>
          <w:bCs w:val="0"/>
        </w:rPr>
        <w:t>70</w:t>
      </w:r>
      <w:r w:rsidRPr="005358D3">
        <w:rPr>
          <w:b w:val="0"/>
        </w:rPr>
        <w:t xml:space="preserve">%, án hành chính: </w:t>
      </w:r>
      <w:r w:rsidRPr="005358D3">
        <w:rPr>
          <w:bCs w:val="0"/>
        </w:rPr>
        <w:t>76,2</w:t>
      </w:r>
      <w:r w:rsidRPr="005358D3">
        <w:rPr>
          <w:b w:val="0"/>
        </w:rPr>
        <w:t xml:space="preserve">%, án hình sự </w:t>
      </w:r>
      <w:r w:rsidRPr="005358D3">
        <w:rPr>
          <w:bCs w:val="0"/>
        </w:rPr>
        <w:t>78,3</w:t>
      </w:r>
      <w:r w:rsidRPr="005358D3">
        <w:rPr>
          <w:b w:val="0"/>
        </w:rPr>
        <w:t xml:space="preserve">%, trung bình: </w:t>
      </w:r>
      <w:r w:rsidRPr="005358D3">
        <w:t>74,8%.</w:t>
      </w:r>
    </w:p>
    <w:p w:rsidR="001C479D" w:rsidRPr="005358D3" w:rsidRDefault="001C479D" w:rsidP="008121B6">
      <w:pPr>
        <w:pStyle w:val="FootnoteText"/>
        <w:ind w:firstLine="180"/>
        <w:rPr>
          <w:lang w:val="vi-VN"/>
        </w:rPr>
      </w:pPr>
    </w:p>
  </w:footnote>
  <w:footnote w:id="5">
    <w:p w:rsidR="005358D3" w:rsidRPr="005358D3" w:rsidRDefault="005358D3" w:rsidP="005358D3">
      <w:pPr>
        <w:pStyle w:val="FootnoteText"/>
        <w:rPr>
          <w:b w:val="0"/>
          <w:bCs w:val="0"/>
          <w:lang w:val="vi-VN"/>
        </w:rPr>
      </w:pPr>
      <w:r w:rsidRPr="005358D3">
        <w:rPr>
          <w:rStyle w:val="FootnoteReference"/>
        </w:rPr>
        <w:footnoteRef/>
      </w:r>
      <w:r w:rsidRPr="005358D3">
        <w:rPr>
          <w:b w:val="0"/>
          <w:bCs w:val="0"/>
          <w:lang w:val="vi-VN"/>
        </w:rPr>
        <w:t xml:space="preserve">Tỷ lệ xét xử án hình sự: năm: 2017: </w:t>
      </w:r>
      <w:r w:rsidRPr="005358D3">
        <w:rPr>
          <w:lang w:val="vi-VN"/>
        </w:rPr>
        <w:t>98%</w:t>
      </w:r>
      <w:r w:rsidRPr="005358D3">
        <w:rPr>
          <w:b w:val="0"/>
          <w:bCs w:val="0"/>
          <w:lang w:val="vi-VN"/>
        </w:rPr>
        <w:t xml:space="preserve">, năm 2018: </w:t>
      </w:r>
      <w:r w:rsidRPr="005358D3">
        <w:rPr>
          <w:lang w:val="vi-VN"/>
        </w:rPr>
        <w:t>87,9%</w:t>
      </w:r>
      <w:r w:rsidRPr="005358D3">
        <w:rPr>
          <w:b w:val="0"/>
          <w:bCs w:val="0"/>
          <w:lang w:val="vi-VN"/>
        </w:rPr>
        <w:t xml:space="preserve">, năm 2019: </w:t>
      </w:r>
      <w:r w:rsidRPr="005358D3">
        <w:rPr>
          <w:lang w:val="vi-VN"/>
        </w:rPr>
        <w:t>88,3%</w:t>
      </w:r>
      <w:r w:rsidRPr="005358D3">
        <w:rPr>
          <w:b w:val="0"/>
          <w:bCs w:val="0"/>
          <w:lang w:val="vi-VN"/>
        </w:rPr>
        <w:t>.</w:t>
      </w:r>
    </w:p>
    <w:p w:rsidR="005358D3" w:rsidRPr="005358D3" w:rsidRDefault="005358D3" w:rsidP="005358D3">
      <w:pPr>
        <w:pStyle w:val="FootnoteText"/>
        <w:rPr>
          <w:b w:val="0"/>
          <w:bCs w:val="0"/>
          <w:lang w:val="vi-VN"/>
        </w:rPr>
      </w:pPr>
      <w:r w:rsidRPr="005358D3">
        <w:rPr>
          <w:b w:val="0"/>
          <w:bCs w:val="0"/>
          <w:lang w:val="vi-VN"/>
        </w:rPr>
        <w:t xml:space="preserve">Tỷ lệ giải quyết, xét xử vụ việc dân sự: năm 2017: </w:t>
      </w:r>
      <w:r w:rsidRPr="005358D3">
        <w:rPr>
          <w:lang w:val="vi-VN"/>
        </w:rPr>
        <w:t>90,2%</w:t>
      </w:r>
      <w:r w:rsidRPr="005358D3">
        <w:rPr>
          <w:b w:val="0"/>
          <w:bCs w:val="0"/>
          <w:lang w:val="vi-VN"/>
        </w:rPr>
        <w:t xml:space="preserve">, năm 2018: </w:t>
      </w:r>
      <w:r w:rsidRPr="005358D3">
        <w:rPr>
          <w:lang w:val="vi-VN"/>
        </w:rPr>
        <w:t>77,5%</w:t>
      </w:r>
      <w:r w:rsidRPr="005358D3">
        <w:rPr>
          <w:b w:val="0"/>
          <w:bCs w:val="0"/>
          <w:lang w:val="vi-VN"/>
        </w:rPr>
        <w:t xml:space="preserve">, năm 2019: </w:t>
      </w:r>
      <w:r w:rsidRPr="005358D3">
        <w:rPr>
          <w:lang w:val="vi-VN"/>
        </w:rPr>
        <w:t>78%</w:t>
      </w:r>
      <w:r w:rsidRPr="005358D3">
        <w:rPr>
          <w:b w:val="0"/>
          <w:bCs w:val="0"/>
          <w:lang w:val="vi-VN"/>
        </w:rPr>
        <w:t>.</w:t>
      </w:r>
    </w:p>
    <w:p w:rsidR="005358D3" w:rsidRPr="005358D3" w:rsidRDefault="005358D3" w:rsidP="005358D3">
      <w:pPr>
        <w:pStyle w:val="FootnoteText"/>
        <w:rPr>
          <w:b w:val="0"/>
          <w:bCs w:val="0"/>
          <w:lang w:val="vi-VN"/>
        </w:rPr>
      </w:pPr>
      <w:r w:rsidRPr="005358D3">
        <w:rPr>
          <w:b w:val="0"/>
          <w:bCs w:val="0"/>
          <w:lang w:val="vi-VN"/>
        </w:rPr>
        <w:t xml:space="preserve">Tỷ lệ giải quyết, xét xử án hành chính: năm 2017: </w:t>
      </w:r>
      <w:r w:rsidRPr="005358D3">
        <w:rPr>
          <w:lang w:val="vi-VN"/>
        </w:rPr>
        <w:t>70,2%</w:t>
      </w:r>
      <w:r w:rsidRPr="005358D3">
        <w:rPr>
          <w:b w:val="0"/>
          <w:bCs w:val="0"/>
          <w:lang w:val="vi-VN"/>
        </w:rPr>
        <w:t xml:space="preserve">, năm 2018: </w:t>
      </w:r>
      <w:r w:rsidRPr="005358D3">
        <w:rPr>
          <w:lang w:val="vi-VN"/>
        </w:rPr>
        <w:t>50%</w:t>
      </w:r>
      <w:r w:rsidRPr="005358D3">
        <w:rPr>
          <w:b w:val="0"/>
          <w:bCs w:val="0"/>
          <w:lang w:val="vi-VN"/>
        </w:rPr>
        <w:t xml:space="preserve">, năm 2019, </w:t>
      </w:r>
      <w:r w:rsidRPr="005358D3">
        <w:rPr>
          <w:lang w:val="vi-VN"/>
        </w:rPr>
        <w:t>59%</w:t>
      </w:r>
      <w:r w:rsidRPr="005358D3">
        <w:rPr>
          <w:b w:val="0"/>
          <w:bCs w:val="0"/>
          <w:lang w:val="vi-VN"/>
        </w:rPr>
        <w:t>.</w:t>
      </w:r>
    </w:p>
    <w:p w:rsidR="005358D3" w:rsidRPr="005358D3" w:rsidRDefault="005358D3">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500"/>
      <w:docPartObj>
        <w:docPartGallery w:val="Page Numbers (Top of Page)"/>
        <w:docPartUnique/>
      </w:docPartObj>
    </w:sdtPr>
    <w:sdtEndPr>
      <w:rPr>
        <w:noProof/>
      </w:rPr>
    </w:sdtEndPr>
    <w:sdtContent>
      <w:p w:rsidR="005358D3" w:rsidRDefault="00084062">
        <w:pPr>
          <w:pStyle w:val="Header"/>
          <w:jc w:val="center"/>
        </w:pPr>
        <w:r>
          <w:fldChar w:fldCharType="begin"/>
        </w:r>
        <w:r w:rsidR="005358D3">
          <w:instrText xml:space="preserve"> PAGE   \* MERGEFORMAT </w:instrText>
        </w:r>
        <w:r>
          <w:fldChar w:fldCharType="separate"/>
        </w:r>
        <w:r w:rsidR="00A678B3">
          <w:rPr>
            <w:noProof/>
          </w:rPr>
          <w:t>5</w:t>
        </w:r>
        <w:r>
          <w:rPr>
            <w:noProof/>
          </w:rPr>
          <w:fldChar w:fldCharType="end"/>
        </w:r>
      </w:p>
    </w:sdtContent>
  </w:sdt>
  <w:p w:rsidR="005358D3" w:rsidRDefault="005358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4FF1"/>
    <w:multiLevelType w:val="hybridMultilevel"/>
    <w:tmpl w:val="94142EE8"/>
    <w:lvl w:ilvl="0" w:tplc="20188A98">
      <w:numFmt w:val="bullet"/>
      <w:lvlText w:val="-"/>
      <w:lvlJc w:val="left"/>
      <w:pPr>
        <w:ind w:left="880" w:hanging="360"/>
      </w:pPr>
      <w:rPr>
        <w:rFonts w:ascii="Times New Roman" w:eastAsia="Times New Roman" w:hAnsi="Times New Roman" w:cs="Times New Roman"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
    <w:nsid w:val="2E4F4E01"/>
    <w:multiLevelType w:val="hybridMultilevel"/>
    <w:tmpl w:val="6506F570"/>
    <w:lvl w:ilvl="0" w:tplc="CF0EEC5E">
      <w:start w:val="7"/>
      <w:numFmt w:val="decimal"/>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2">
    <w:nsid w:val="2E6817CC"/>
    <w:multiLevelType w:val="hybridMultilevel"/>
    <w:tmpl w:val="F1C6F9F2"/>
    <w:lvl w:ilvl="0" w:tplc="80B4DF86">
      <w:start w:val="1"/>
      <w:numFmt w:val="decimal"/>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3">
    <w:nsid w:val="392B7736"/>
    <w:multiLevelType w:val="hybridMultilevel"/>
    <w:tmpl w:val="76BEDD62"/>
    <w:lvl w:ilvl="0" w:tplc="6BD89BDA">
      <w:start w:val="59"/>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3AA46DD1"/>
    <w:multiLevelType w:val="hybridMultilevel"/>
    <w:tmpl w:val="E384EAE6"/>
    <w:lvl w:ilvl="0" w:tplc="DD1C0D84">
      <w:start w:val="1"/>
      <w:numFmt w:val="decimal"/>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5">
    <w:nsid w:val="6A330581"/>
    <w:multiLevelType w:val="hybridMultilevel"/>
    <w:tmpl w:val="C64A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1653E6"/>
    <w:multiLevelType w:val="hybridMultilevel"/>
    <w:tmpl w:val="17580D24"/>
    <w:lvl w:ilvl="0" w:tplc="BE649A7C">
      <w:start w:val="8"/>
      <w:numFmt w:val="decimal"/>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66E64"/>
    <w:rsid w:val="00044063"/>
    <w:rsid w:val="00061BAB"/>
    <w:rsid w:val="000810D0"/>
    <w:rsid w:val="00084062"/>
    <w:rsid w:val="000F67D2"/>
    <w:rsid w:val="00171109"/>
    <w:rsid w:val="001A6C87"/>
    <w:rsid w:val="001B0708"/>
    <w:rsid w:val="001C479D"/>
    <w:rsid w:val="001E5EAE"/>
    <w:rsid w:val="00204557"/>
    <w:rsid w:val="0021650A"/>
    <w:rsid w:val="00286F4A"/>
    <w:rsid w:val="002C395B"/>
    <w:rsid w:val="002D53CC"/>
    <w:rsid w:val="002F144B"/>
    <w:rsid w:val="00354CD1"/>
    <w:rsid w:val="00370DEB"/>
    <w:rsid w:val="00405ADB"/>
    <w:rsid w:val="00410F05"/>
    <w:rsid w:val="00460258"/>
    <w:rsid w:val="004F5352"/>
    <w:rsid w:val="00522A70"/>
    <w:rsid w:val="0052311D"/>
    <w:rsid w:val="005358D3"/>
    <w:rsid w:val="00567CBD"/>
    <w:rsid w:val="005778D8"/>
    <w:rsid w:val="005D1B7C"/>
    <w:rsid w:val="005D3F0A"/>
    <w:rsid w:val="005F26DD"/>
    <w:rsid w:val="005F5E0B"/>
    <w:rsid w:val="0066106D"/>
    <w:rsid w:val="0069746D"/>
    <w:rsid w:val="00726B65"/>
    <w:rsid w:val="0075474A"/>
    <w:rsid w:val="007745E2"/>
    <w:rsid w:val="008121B6"/>
    <w:rsid w:val="00823AA8"/>
    <w:rsid w:val="0082695A"/>
    <w:rsid w:val="0086697C"/>
    <w:rsid w:val="008A3818"/>
    <w:rsid w:val="008B55B3"/>
    <w:rsid w:val="008E0024"/>
    <w:rsid w:val="008E3FF8"/>
    <w:rsid w:val="008F7E1E"/>
    <w:rsid w:val="009615CD"/>
    <w:rsid w:val="00977728"/>
    <w:rsid w:val="0099064F"/>
    <w:rsid w:val="009B4DC0"/>
    <w:rsid w:val="009E712C"/>
    <w:rsid w:val="00A0032C"/>
    <w:rsid w:val="00A1773F"/>
    <w:rsid w:val="00A678B3"/>
    <w:rsid w:val="00A820A2"/>
    <w:rsid w:val="00A97782"/>
    <w:rsid w:val="00AC0AA6"/>
    <w:rsid w:val="00AF0F26"/>
    <w:rsid w:val="00B02A17"/>
    <w:rsid w:val="00B17FF9"/>
    <w:rsid w:val="00B37218"/>
    <w:rsid w:val="00B67EC8"/>
    <w:rsid w:val="00B7119D"/>
    <w:rsid w:val="00BA13B9"/>
    <w:rsid w:val="00BB1A6F"/>
    <w:rsid w:val="00C3556F"/>
    <w:rsid w:val="00C52D23"/>
    <w:rsid w:val="00C61A24"/>
    <w:rsid w:val="00C641C3"/>
    <w:rsid w:val="00CF16AE"/>
    <w:rsid w:val="00CF7C50"/>
    <w:rsid w:val="00D20AAA"/>
    <w:rsid w:val="00D20E56"/>
    <w:rsid w:val="00D51940"/>
    <w:rsid w:val="00D66E64"/>
    <w:rsid w:val="00D83205"/>
    <w:rsid w:val="00D967A1"/>
    <w:rsid w:val="00DD74AE"/>
    <w:rsid w:val="00E119A7"/>
    <w:rsid w:val="00F03A6C"/>
    <w:rsid w:val="00F2104B"/>
    <w:rsid w:val="00F30FE6"/>
    <w:rsid w:val="00F34DCC"/>
    <w:rsid w:val="00F40EDC"/>
    <w:rsid w:val="00F5632B"/>
    <w:rsid w:val="00FC6423"/>
    <w:rsid w:val="00FD6D82"/>
    <w:rsid w:val="00FE474B"/>
    <w:rsid w:val="00FE5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GB"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818"/>
    <w:pPr>
      <w:spacing w:before="0" w:after="160" w:line="259" w:lineRule="auto"/>
      <w:ind w:left="720" w:firstLine="0"/>
      <w:contextualSpacing/>
      <w:jc w:val="left"/>
    </w:pPr>
    <w:rPr>
      <w:rFonts w:eastAsia="Calibri" w:cs="Times New Roman"/>
      <w:lang w:val="en-US"/>
    </w:rPr>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Footnote Text Char1 Char Cha"/>
    <w:basedOn w:val="Normal"/>
    <w:link w:val="FootnoteTextChar"/>
    <w:rsid w:val="0086697C"/>
    <w:pPr>
      <w:tabs>
        <w:tab w:val="left" w:leader="dot" w:pos="8902"/>
      </w:tabs>
      <w:spacing w:before="0"/>
      <w:ind w:firstLine="0"/>
    </w:pPr>
    <w:rPr>
      <w:rFonts w:eastAsia="Times New Roman" w:cs="Times New Roman"/>
      <w:b/>
      <w:bCs/>
      <w:color w:val="000000"/>
      <w:sz w:val="20"/>
      <w:szCs w:val="20"/>
      <w:lang/>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basedOn w:val="DefaultParagraphFont"/>
    <w:link w:val="FootnoteText"/>
    <w:rsid w:val="0086697C"/>
    <w:rPr>
      <w:rFonts w:eastAsia="Times New Roman" w:cs="Times New Roman"/>
      <w:b/>
      <w:bCs/>
      <w:color w:val="000000"/>
      <w:sz w:val="20"/>
      <w:szCs w:val="20"/>
      <w:lang/>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rsid w:val="0086697C"/>
    <w:rPr>
      <w:vertAlign w:val="superscript"/>
    </w:rPr>
  </w:style>
  <w:style w:type="paragraph" w:styleId="Header">
    <w:name w:val="header"/>
    <w:basedOn w:val="Normal"/>
    <w:link w:val="HeaderChar"/>
    <w:uiPriority w:val="99"/>
    <w:unhideWhenUsed/>
    <w:rsid w:val="00CF7C50"/>
    <w:pPr>
      <w:tabs>
        <w:tab w:val="center" w:pos="4513"/>
        <w:tab w:val="right" w:pos="9026"/>
      </w:tabs>
      <w:spacing w:before="0"/>
    </w:pPr>
  </w:style>
  <w:style w:type="character" w:customStyle="1" w:styleId="HeaderChar">
    <w:name w:val="Header Char"/>
    <w:basedOn w:val="DefaultParagraphFont"/>
    <w:link w:val="Header"/>
    <w:uiPriority w:val="99"/>
    <w:rsid w:val="00CF7C50"/>
  </w:style>
  <w:style w:type="paragraph" w:styleId="Footer">
    <w:name w:val="footer"/>
    <w:basedOn w:val="Normal"/>
    <w:link w:val="FooterChar"/>
    <w:uiPriority w:val="99"/>
    <w:unhideWhenUsed/>
    <w:rsid w:val="00CF7C50"/>
    <w:pPr>
      <w:tabs>
        <w:tab w:val="center" w:pos="4513"/>
        <w:tab w:val="right" w:pos="9026"/>
      </w:tabs>
      <w:spacing w:before="0"/>
    </w:pPr>
  </w:style>
  <w:style w:type="character" w:customStyle="1" w:styleId="FooterChar">
    <w:name w:val="Footer Char"/>
    <w:basedOn w:val="DefaultParagraphFont"/>
    <w:link w:val="Footer"/>
    <w:uiPriority w:val="99"/>
    <w:rsid w:val="00CF7C50"/>
  </w:style>
  <w:style w:type="table" w:styleId="TableGrid">
    <w:name w:val="Table Grid"/>
    <w:basedOn w:val="TableNormal"/>
    <w:uiPriority w:val="39"/>
    <w:rsid w:val="008E3FF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8E3FF8"/>
    <w:rPr>
      <w:rFonts w:eastAsia="Calibri" w:cs="Times New Roman"/>
      <w:lang w:val="en-US"/>
    </w:rPr>
  </w:style>
  <w:style w:type="paragraph" w:customStyle="1" w:styleId="Char">
    <w:name w:val="Char"/>
    <w:basedOn w:val="Normal"/>
    <w:rsid w:val="00D51940"/>
    <w:pPr>
      <w:pageBreakBefore/>
      <w:spacing w:before="100" w:beforeAutospacing="1" w:after="100" w:afterAutospacing="1"/>
      <w:ind w:firstLine="0"/>
      <w:jc w:val="left"/>
    </w:pPr>
    <w:rPr>
      <w:rFonts w:ascii="Tahoma" w:eastAsia="Times New Roman" w:hAnsi="Tahoma" w:cs="Tahoma"/>
      <w:sz w:val="20"/>
      <w:szCs w:val="20"/>
      <w:lang w:val="en-US"/>
    </w:rPr>
  </w:style>
  <w:style w:type="paragraph" w:customStyle="1" w:styleId="Normal1">
    <w:name w:val="Normal1"/>
    <w:basedOn w:val="Normal"/>
    <w:rsid w:val="008B55B3"/>
    <w:pPr>
      <w:spacing w:before="100" w:beforeAutospacing="1" w:after="100" w:afterAutospacing="1"/>
      <w:ind w:firstLine="0"/>
      <w:jc w:val="left"/>
    </w:pPr>
    <w:rPr>
      <w:rFonts w:eastAsia="Times New Roman" w:cs="Times New Roman"/>
      <w:sz w:val="24"/>
      <w:szCs w:val="24"/>
      <w:lang w:val="en-US"/>
    </w:rPr>
  </w:style>
  <w:style w:type="paragraph" w:customStyle="1" w:styleId="n-chuongten">
    <w:name w:val="n-chuong ten"/>
    <w:basedOn w:val="Normal"/>
    <w:rsid w:val="00F40EDC"/>
    <w:pPr>
      <w:overflowPunct w:val="0"/>
      <w:autoSpaceDE w:val="0"/>
      <w:autoSpaceDN w:val="0"/>
      <w:adjustRightInd w:val="0"/>
      <w:spacing w:before="0" w:after="240"/>
      <w:jc w:val="center"/>
      <w:textAlignment w:val="baseline"/>
    </w:pPr>
    <w:rPr>
      <w:rFonts w:ascii=".VnTimeH" w:eastAsia="Times New Roman" w:hAnsi=".VnTimeH" w:cs="Times New Roman"/>
      <w:b/>
      <w:spacing w:val="5"/>
      <w:sz w:val="26"/>
      <w:szCs w:val="20"/>
    </w:rPr>
  </w:style>
  <w:style w:type="paragraph" w:styleId="BalloonText">
    <w:name w:val="Balloon Text"/>
    <w:basedOn w:val="Normal"/>
    <w:link w:val="BalloonTextChar"/>
    <w:uiPriority w:val="99"/>
    <w:semiHidden/>
    <w:unhideWhenUsed/>
    <w:rsid w:val="00FC642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23"/>
    <w:rPr>
      <w:rFonts w:ascii="Segoe UI" w:hAnsi="Segoe UI" w:cs="Segoe UI"/>
      <w:sz w:val="18"/>
      <w:szCs w:val="18"/>
    </w:rPr>
  </w:style>
  <w:style w:type="paragraph" w:customStyle="1" w:styleId="Char0">
    <w:name w:val="Char"/>
    <w:basedOn w:val="Normal"/>
    <w:semiHidden/>
    <w:rsid w:val="002C395B"/>
    <w:pPr>
      <w:spacing w:before="0" w:after="160" w:line="240" w:lineRule="exact"/>
      <w:ind w:firstLine="0"/>
      <w:jc w:val="left"/>
    </w:pPr>
    <w:rPr>
      <w:rFonts w:ascii="Arial" w:eastAsia="Times New Roman" w:hAnsi="Arial" w:cs="Arial"/>
      <w:sz w:val="22"/>
      <w:szCs w:val="22"/>
      <w:lang w:val="en-US"/>
    </w:rPr>
  </w:style>
</w:styles>
</file>

<file path=word/webSettings.xml><?xml version="1.0" encoding="utf-8"?>
<w:webSettings xmlns:r="http://schemas.openxmlformats.org/officeDocument/2006/relationships" xmlns:w="http://schemas.openxmlformats.org/wordprocessingml/2006/main">
  <w:divs>
    <w:div w:id="1167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B05B6-8E08-4C53-B8C0-17F51216A8D5}">
  <ds:schemaRefs>
    <ds:schemaRef ds:uri="http://schemas.openxmlformats.org/officeDocument/2006/bibliography"/>
  </ds:schemaRefs>
</ds:datastoreItem>
</file>

<file path=customXml/itemProps2.xml><?xml version="1.0" encoding="utf-8"?>
<ds:datastoreItem xmlns:ds="http://schemas.openxmlformats.org/officeDocument/2006/customXml" ds:itemID="{4BA89D2B-129E-409A-A569-BDA5207A803F}"/>
</file>

<file path=customXml/itemProps3.xml><?xml version="1.0" encoding="utf-8"?>
<ds:datastoreItem xmlns:ds="http://schemas.openxmlformats.org/officeDocument/2006/customXml" ds:itemID="{8EAB0D15-99F3-4784-B5C5-F052E54FEFBB}"/>
</file>

<file path=customXml/itemProps4.xml><?xml version="1.0" encoding="utf-8"?>
<ds:datastoreItem xmlns:ds="http://schemas.openxmlformats.org/officeDocument/2006/customXml" ds:itemID="{831F62F1-FAB7-480D-814E-E9C0B44DAC36}"/>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Nguyễn Bằng</dc:creator>
  <cp:lastModifiedBy>admin</cp:lastModifiedBy>
  <cp:revision>2</cp:revision>
  <cp:lastPrinted>2019-11-22T04:14:00Z</cp:lastPrinted>
  <dcterms:created xsi:type="dcterms:W3CDTF">2019-11-27T01:21:00Z</dcterms:created>
  <dcterms:modified xsi:type="dcterms:W3CDTF">2019-11-27T01:21:00Z</dcterms:modified>
</cp:coreProperties>
</file>